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77894" w:rsidTr="00345119">
        <w:tc>
          <w:tcPr>
            <w:tcW w:w="9576" w:type="dxa"/>
            <w:noWrap/>
          </w:tcPr>
          <w:p w:rsidR="008423E4" w:rsidRPr="0022177D" w:rsidRDefault="00065F2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65F28" w:rsidP="008423E4">
      <w:pPr>
        <w:jc w:val="center"/>
      </w:pPr>
    </w:p>
    <w:p w:rsidR="008423E4" w:rsidRPr="00B31F0E" w:rsidRDefault="00065F28" w:rsidP="008423E4"/>
    <w:p w:rsidR="008423E4" w:rsidRPr="00742794" w:rsidRDefault="00065F2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77894" w:rsidTr="00345119">
        <w:tc>
          <w:tcPr>
            <w:tcW w:w="9576" w:type="dxa"/>
          </w:tcPr>
          <w:p w:rsidR="008423E4" w:rsidRPr="00861995" w:rsidRDefault="00065F28" w:rsidP="00345119">
            <w:pPr>
              <w:jc w:val="right"/>
            </w:pPr>
            <w:r>
              <w:t>C.S.H.B. 1594</w:t>
            </w:r>
          </w:p>
        </w:tc>
      </w:tr>
      <w:tr w:rsidR="00577894" w:rsidTr="00345119">
        <w:tc>
          <w:tcPr>
            <w:tcW w:w="9576" w:type="dxa"/>
          </w:tcPr>
          <w:p w:rsidR="008423E4" w:rsidRPr="00861995" w:rsidRDefault="00065F28" w:rsidP="00C24AC2">
            <w:pPr>
              <w:jc w:val="right"/>
            </w:pPr>
            <w:r>
              <w:t xml:space="preserve">By: </w:t>
            </w:r>
            <w:r>
              <w:t>Bohac</w:t>
            </w:r>
          </w:p>
        </w:tc>
      </w:tr>
      <w:tr w:rsidR="00577894" w:rsidTr="00345119">
        <w:tc>
          <w:tcPr>
            <w:tcW w:w="9576" w:type="dxa"/>
          </w:tcPr>
          <w:p w:rsidR="008423E4" w:rsidRPr="00861995" w:rsidRDefault="00065F28" w:rsidP="00345119">
            <w:pPr>
              <w:jc w:val="right"/>
            </w:pPr>
            <w:r>
              <w:t>Elections</w:t>
            </w:r>
          </w:p>
        </w:tc>
      </w:tr>
      <w:tr w:rsidR="00577894" w:rsidTr="00345119">
        <w:tc>
          <w:tcPr>
            <w:tcW w:w="9576" w:type="dxa"/>
          </w:tcPr>
          <w:p w:rsidR="008423E4" w:rsidRDefault="00065F2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065F28" w:rsidP="008423E4">
      <w:pPr>
        <w:tabs>
          <w:tab w:val="right" w:pos="9360"/>
        </w:tabs>
      </w:pPr>
    </w:p>
    <w:p w:rsidR="008423E4" w:rsidRDefault="00065F28" w:rsidP="008423E4"/>
    <w:p w:rsidR="008423E4" w:rsidRDefault="00065F2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577894" w:rsidTr="00C24AC2">
        <w:tc>
          <w:tcPr>
            <w:tcW w:w="9582" w:type="dxa"/>
          </w:tcPr>
          <w:p w:rsidR="008423E4" w:rsidRPr="00A8133F" w:rsidRDefault="00065F28" w:rsidP="005C22F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65F28" w:rsidP="005C22FD"/>
          <w:p w:rsidR="008423E4" w:rsidRDefault="00065F28" w:rsidP="005C22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D3EAB">
              <w:t xml:space="preserve">Interested parties contend that </w:t>
            </w:r>
            <w:r>
              <w:t>election costs can</w:t>
            </w:r>
            <w:r>
              <w:t xml:space="preserve"> be reduced if commissioners courts and county executive com</w:t>
            </w:r>
            <w:r>
              <w:t xml:space="preserve">mittees of political parties </w:t>
            </w:r>
            <w:r>
              <w:t>have</w:t>
            </w:r>
            <w:r>
              <w:t xml:space="preserve"> more flexibility in combining county election precincts. </w:t>
            </w:r>
            <w:r>
              <w:t>C.S.</w:t>
            </w:r>
            <w:r>
              <w:t xml:space="preserve">H.B. 1594 seeks to provide for this flexibility by removing certain conditions and limitations on </w:t>
            </w:r>
            <w:r>
              <w:t xml:space="preserve">such an entity's </w:t>
            </w:r>
            <w:r>
              <w:t>ability to combine</w:t>
            </w:r>
            <w:r>
              <w:t xml:space="preserve"> precincts</w:t>
            </w:r>
            <w:r w:rsidRPr="001D3EAB">
              <w:t>.</w:t>
            </w:r>
          </w:p>
          <w:p w:rsidR="008423E4" w:rsidRPr="00E26B13" w:rsidRDefault="00065F28" w:rsidP="005C22FD">
            <w:pPr>
              <w:rPr>
                <w:b/>
              </w:rPr>
            </w:pPr>
          </w:p>
        </w:tc>
      </w:tr>
      <w:tr w:rsidR="00577894" w:rsidTr="00C24AC2">
        <w:tc>
          <w:tcPr>
            <w:tcW w:w="9582" w:type="dxa"/>
          </w:tcPr>
          <w:p w:rsidR="0017725B" w:rsidRDefault="00065F28" w:rsidP="005C22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65F28" w:rsidP="005C22FD">
            <w:pPr>
              <w:rPr>
                <w:b/>
                <w:u w:val="single"/>
              </w:rPr>
            </w:pPr>
          </w:p>
          <w:p w:rsidR="00F50FEA" w:rsidRPr="00F50FEA" w:rsidRDefault="00065F28" w:rsidP="005C22FD">
            <w:pPr>
              <w:jc w:val="both"/>
            </w:pPr>
            <w:r>
              <w:t>It is the committe</w:t>
            </w:r>
            <w:r>
              <w:t>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65F28" w:rsidP="005C22FD">
            <w:pPr>
              <w:rPr>
                <w:b/>
                <w:u w:val="single"/>
              </w:rPr>
            </w:pPr>
          </w:p>
        </w:tc>
      </w:tr>
      <w:tr w:rsidR="00577894" w:rsidTr="00C24AC2">
        <w:tc>
          <w:tcPr>
            <w:tcW w:w="9582" w:type="dxa"/>
          </w:tcPr>
          <w:p w:rsidR="008423E4" w:rsidRPr="00A8133F" w:rsidRDefault="00065F28" w:rsidP="005C22F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65F28" w:rsidP="005C22FD"/>
          <w:p w:rsidR="00F50FEA" w:rsidRDefault="00065F28" w:rsidP="005C22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065F28" w:rsidP="005C22FD">
            <w:pPr>
              <w:rPr>
                <w:b/>
              </w:rPr>
            </w:pPr>
          </w:p>
        </w:tc>
      </w:tr>
      <w:tr w:rsidR="00577894" w:rsidTr="00C24AC2">
        <w:tc>
          <w:tcPr>
            <w:tcW w:w="9582" w:type="dxa"/>
          </w:tcPr>
          <w:p w:rsidR="00F50FEA" w:rsidRDefault="00065F28" w:rsidP="005C22F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</w:p>
          <w:p w:rsidR="00BA13DF" w:rsidRDefault="00065F28" w:rsidP="005C22FD">
            <w:pPr>
              <w:rPr>
                <w:b/>
              </w:rPr>
            </w:pPr>
          </w:p>
          <w:p w:rsidR="003C0F70" w:rsidRDefault="00065F28" w:rsidP="005C22FD">
            <w:pPr>
              <w:pStyle w:val="Header"/>
              <w:jc w:val="both"/>
            </w:pPr>
            <w:r>
              <w:t>C.S.</w:t>
            </w:r>
            <w:r>
              <w:t xml:space="preserve">H.B. 1594 amends the Election Code to </w:t>
            </w:r>
            <w:r>
              <w:t xml:space="preserve">remove from the </w:t>
            </w:r>
            <w:r>
              <w:t>authori</w:t>
            </w:r>
            <w:r>
              <w:t>zation for</w:t>
            </w:r>
            <w:r>
              <w:t xml:space="preserve"> </w:t>
            </w:r>
            <w:r>
              <w:t xml:space="preserve">a </w:t>
            </w:r>
            <w:r>
              <w:t xml:space="preserve">county </w:t>
            </w:r>
            <w:r>
              <w:t>commission</w:t>
            </w:r>
            <w:r>
              <w:t>er</w:t>
            </w:r>
            <w:r>
              <w:t xml:space="preserve">s court </w:t>
            </w:r>
            <w:r>
              <w:t xml:space="preserve">or county executive committee of a political party </w:t>
            </w:r>
            <w:r>
              <w:t xml:space="preserve">for a general </w:t>
            </w:r>
            <w:r>
              <w:t xml:space="preserve">election, </w:t>
            </w:r>
            <w:r>
              <w:t xml:space="preserve">special election, </w:t>
            </w:r>
            <w:r w:rsidRPr="00BC31B9">
              <w:t xml:space="preserve">or primary election, </w:t>
            </w:r>
            <w:r>
              <w:t>as applicable,</w:t>
            </w:r>
            <w:r>
              <w:t xml:space="preserve"> to</w:t>
            </w:r>
            <w:r>
              <w:t xml:space="preserve"> </w:t>
            </w:r>
            <w:r w:rsidRPr="00BC31B9">
              <w:t xml:space="preserve">combine </w:t>
            </w:r>
            <w:r>
              <w:t xml:space="preserve">certain </w:t>
            </w:r>
            <w:r w:rsidRPr="00BC31B9">
              <w:t>county election precincts</w:t>
            </w:r>
            <w:r>
              <w:t xml:space="preserve"> </w:t>
            </w:r>
            <w:r w:rsidRPr="00BC31B9">
              <w:t xml:space="preserve">to avoid unreasonable expenditures </w:t>
            </w:r>
            <w:r w:rsidRPr="00BC31B9">
              <w:t>for election equipment, supplies, and personnel</w:t>
            </w:r>
            <w:r>
              <w:t xml:space="preserve"> </w:t>
            </w:r>
            <w:r>
              <w:t>the condition that</w:t>
            </w:r>
            <w:r>
              <w:t xml:space="preserve"> </w:t>
            </w:r>
            <w:r w:rsidRPr="00BC31B9">
              <w:t xml:space="preserve">changes in county election precinct boundaries </w:t>
            </w:r>
            <w:r>
              <w:t>giving</w:t>
            </w:r>
            <w:r w:rsidRPr="00BC31B9">
              <w:t xml:space="preserve"> effect to a redistricting plan result in county election precincts with a </w:t>
            </w:r>
            <w:r>
              <w:t xml:space="preserve">specified </w:t>
            </w:r>
            <w:r>
              <w:t xml:space="preserve">maximum </w:t>
            </w:r>
            <w:r w:rsidRPr="00BC31B9">
              <w:t>number of registered voters</w:t>
            </w:r>
            <w:r>
              <w:t>.</w:t>
            </w:r>
            <w:r>
              <w:t xml:space="preserve"> </w:t>
            </w:r>
            <w:r>
              <w:t>The bill inste</w:t>
            </w:r>
            <w:r>
              <w:t>ad makes such</w:t>
            </w:r>
            <w:r>
              <w:t xml:space="preserve"> authori</w:t>
            </w:r>
            <w:r>
              <w:t>zation</w:t>
            </w:r>
            <w:r>
              <w:t xml:space="preserve"> </w:t>
            </w:r>
            <w:r>
              <w:t>for</w:t>
            </w:r>
            <w:r>
              <w:t xml:space="preserve"> combin</w:t>
            </w:r>
            <w:r>
              <w:t>ing</w:t>
            </w:r>
            <w:r>
              <w:t xml:space="preserve"> precincts applicable </w:t>
            </w:r>
            <w:r>
              <w:t xml:space="preserve">in </w:t>
            </w:r>
            <w:r>
              <w:t xml:space="preserve">a county with a population of less than 250,000 if the precinct has less than 500 registered voters </w:t>
            </w:r>
            <w:r>
              <w:t xml:space="preserve">and in </w:t>
            </w:r>
            <w:r>
              <w:t>a county with a population of 250,000 or more regardless of the number of registere</w:t>
            </w:r>
            <w:r>
              <w:t>d voters in the precinct.</w:t>
            </w:r>
            <w:r>
              <w:t xml:space="preserve"> </w:t>
            </w:r>
          </w:p>
          <w:p w:rsidR="003C0F70" w:rsidRDefault="00065F28" w:rsidP="005C22FD">
            <w:pPr>
              <w:pStyle w:val="Header"/>
              <w:jc w:val="both"/>
            </w:pPr>
          </w:p>
          <w:p w:rsidR="008423E4" w:rsidRDefault="00065F28" w:rsidP="005C22FD">
            <w:pPr>
              <w:pStyle w:val="Header"/>
              <w:jc w:val="both"/>
            </w:pPr>
            <w:r>
              <w:t>C.S.H.B. 1594</w:t>
            </w:r>
            <w:r>
              <w:t xml:space="preserve"> </w:t>
            </w:r>
            <w:r>
              <w:t xml:space="preserve">includes </w:t>
            </w:r>
            <w:r>
              <w:t xml:space="preserve">the following </w:t>
            </w:r>
            <w:r>
              <w:t>as</w:t>
            </w:r>
            <w:r>
              <w:t xml:space="preserve"> a</w:t>
            </w:r>
            <w:r>
              <w:t xml:space="preserve"> circumstance under which </w:t>
            </w:r>
            <w:r>
              <w:t xml:space="preserve">a combined precinct </w:t>
            </w:r>
            <w:r>
              <w:t>may not be</w:t>
            </w:r>
            <w:r>
              <w:t xml:space="preserve"> established</w:t>
            </w:r>
            <w:r>
              <w:t>:</w:t>
            </w:r>
            <w:r>
              <w:t xml:space="preserve"> </w:t>
            </w:r>
            <w:r>
              <w:t>the combined precinct</w:t>
            </w:r>
            <w:r>
              <w:t xml:space="preserve"> contain</w:t>
            </w:r>
            <w:r>
              <w:t>s</w:t>
            </w:r>
            <w:r>
              <w:t xml:space="preserve"> a county election precinct with at least 500 registered voters but less</w:t>
            </w:r>
            <w:r>
              <w:t xml:space="preserve"> than 750 registered voters</w:t>
            </w:r>
            <w:r>
              <w:t xml:space="preserve">, </w:t>
            </w:r>
            <w:r>
              <w:t>the location of the polling place for the combined precinct is different from the location used for the county election precinct in the preceding electio</w:t>
            </w:r>
            <w:r>
              <w:t>n ordered by the same authority</w:t>
            </w:r>
            <w:r>
              <w:t>,</w:t>
            </w:r>
            <w:r>
              <w:t xml:space="preserve"> and</w:t>
            </w:r>
            <w:r>
              <w:t xml:space="preserve"> </w:t>
            </w:r>
            <w:r>
              <w:t>the polling place used for the county</w:t>
            </w:r>
            <w:r>
              <w:t xml:space="preserve"> election precinct in </w:t>
            </w:r>
            <w:r>
              <w:t>that</w:t>
            </w:r>
            <w:r>
              <w:t xml:space="preserve"> preceding</w:t>
            </w:r>
            <w:r>
              <w:t xml:space="preserve"> election</w:t>
            </w:r>
            <w:r>
              <w:t xml:space="preserve"> </w:t>
            </w:r>
            <w:r>
              <w:t>is available to be used as a polling place and</w:t>
            </w:r>
            <w:r>
              <w:t xml:space="preserve"> </w:t>
            </w:r>
            <w:r>
              <w:t xml:space="preserve">complies with </w:t>
            </w:r>
            <w:r>
              <w:t>certain</w:t>
            </w:r>
            <w:r>
              <w:t xml:space="preserve"> accessibility requirements</w:t>
            </w:r>
            <w:r>
              <w:t>.</w:t>
            </w:r>
          </w:p>
          <w:p w:rsidR="00F50FEA" w:rsidRDefault="00065F28" w:rsidP="005C22FD">
            <w:pPr>
              <w:pStyle w:val="Header"/>
              <w:jc w:val="both"/>
            </w:pPr>
          </w:p>
          <w:p w:rsidR="00F50FEA" w:rsidRDefault="00065F28" w:rsidP="005C22FD">
            <w:pPr>
              <w:pStyle w:val="Header"/>
              <w:jc w:val="both"/>
            </w:pPr>
            <w:r>
              <w:t xml:space="preserve">C.S.H.B. 1594 repeals </w:t>
            </w:r>
            <w:r w:rsidRPr="00F50FEA">
              <w:t>Section 42.0051(b), Election Code</w:t>
            </w:r>
            <w:r>
              <w:t>.</w:t>
            </w:r>
          </w:p>
          <w:p w:rsidR="008423E4" w:rsidRPr="00835628" w:rsidRDefault="00065F28" w:rsidP="005C22FD">
            <w:pPr>
              <w:rPr>
                <w:b/>
              </w:rPr>
            </w:pPr>
          </w:p>
        </w:tc>
      </w:tr>
      <w:tr w:rsidR="00577894" w:rsidTr="00C24AC2">
        <w:tc>
          <w:tcPr>
            <w:tcW w:w="9582" w:type="dxa"/>
          </w:tcPr>
          <w:p w:rsidR="008423E4" w:rsidRPr="00A8133F" w:rsidRDefault="00065F28" w:rsidP="005C22F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65F28" w:rsidP="005C22FD"/>
          <w:p w:rsidR="008423E4" w:rsidRPr="003624F2" w:rsidRDefault="00065F28" w:rsidP="005C22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</w:t>
            </w:r>
            <w:r>
              <w:t xml:space="preserve"> receive the necessary vote, September 1, 2017.</w:t>
            </w:r>
          </w:p>
          <w:p w:rsidR="008423E4" w:rsidRPr="00233FDB" w:rsidRDefault="00065F28" w:rsidP="005C22FD">
            <w:pPr>
              <w:rPr>
                <w:b/>
              </w:rPr>
            </w:pPr>
          </w:p>
        </w:tc>
      </w:tr>
      <w:tr w:rsidR="00577894" w:rsidTr="00C24AC2">
        <w:tc>
          <w:tcPr>
            <w:tcW w:w="9582" w:type="dxa"/>
          </w:tcPr>
          <w:p w:rsidR="00C24AC2" w:rsidRDefault="00065F28" w:rsidP="005C22F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5049BB" w:rsidRDefault="00065F28" w:rsidP="005C22FD">
            <w:pPr>
              <w:jc w:val="both"/>
            </w:pPr>
          </w:p>
          <w:p w:rsidR="005049BB" w:rsidRDefault="00065F28" w:rsidP="005C22FD">
            <w:pPr>
              <w:jc w:val="both"/>
            </w:pPr>
            <w:r>
              <w:t>While C.S.H.B. 1594 may differ from the original in minor or nonsubstantive</w:t>
            </w:r>
            <w:r>
              <w:t xml:space="preserve"> ways, the following comparison is organized and formatted in a manner that indicates the substantial differences between the introduced and committee substitute versions of the bill.</w:t>
            </w:r>
          </w:p>
          <w:p w:rsidR="005049BB" w:rsidRPr="005049BB" w:rsidRDefault="00065F28" w:rsidP="005C22FD">
            <w:pPr>
              <w:jc w:val="both"/>
            </w:pPr>
          </w:p>
        </w:tc>
      </w:tr>
      <w:tr w:rsidR="00577894" w:rsidTr="00C24AC2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577894" w:rsidTr="00C24AC2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C24AC2" w:rsidRDefault="00065F28" w:rsidP="005C22FD">
                  <w:pPr>
                    <w:jc w:val="center"/>
                  </w:pPr>
                  <w:r>
                    <w:lastRenderedPageBreak/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C24AC2" w:rsidRDefault="00065F28" w:rsidP="005C22FD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577894" w:rsidTr="00C24AC2">
              <w:tc>
                <w:tcPr>
                  <w:tcW w:w="4673" w:type="dxa"/>
                  <w:tcMar>
                    <w:right w:w="360" w:type="dxa"/>
                  </w:tcMar>
                </w:tcPr>
                <w:p w:rsidR="00C24AC2" w:rsidRDefault="00065F28" w:rsidP="005C22FD">
                  <w:pPr>
                    <w:jc w:val="both"/>
                  </w:pPr>
                  <w:r>
                    <w:t>SECTION 1.  Section 42.0051(a),</w:t>
                  </w:r>
                  <w:r>
                    <w:t xml:space="preserve"> Election Code, is amended to read as follows:</w:t>
                  </w:r>
                </w:p>
                <w:p w:rsidR="00D27D77" w:rsidRDefault="00065F28" w:rsidP="005C22FD">
                  <w:pPr>
                    <w:jc w:val="both"/>
                  </w:pPr>
                </w:p>
                <w:p w:rsidR="00C24AC2" w:rsidRDefault="00065F28" w:rsidP="005C22FD">
                  <w:pPr>
                    <w:jc w:val="both"/>
                  </w:pPr>
                  <w:r>
                    <w:t xml:space="preserve">(a)  </w:t>
                  </w:r>
                  <w:r>
                    <w:rPr>
                      <w:u w:val="single"/>
                    </w:rPr>
                    <w:t>A</w:t>
                  </w:r>
                  <w:r>
                    <w:t xml:space="preserve"> [</w:t>
                  </w:r>
                  <w:r>
                    <w:rPr>
                      <w:strike/>
                    </w:rPr>
                    <w:t>If changes in county election precinct boundaries to give effect to a redistricting plan result in county election precincts with a number of registered voters less than 500, a</w:t>
                  </w:r>
                  <w:r>
                    <w:t xml:space="preserve">] commissioners court </w:t>
                  </w:r>
                  <w:r>
                    <w:t>for a general or special election[</w:t>
                  </w:r>
                  <w:r>
                    <w:rPr>
                      <w:strike/>
                    </w:rPr>
                    <w:t>,</w:t>
                  </w:r>
                  <w:r>
                    <w:t>] or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for a primary election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the county executive committee of a political party conducting a primary election, may combine county election precincts notwithstanding Section 42.005 to avoid unreasonable expenditures for </w:t>
                  </w:r>
                  <w:r>
                    <w:t xml:space="preserve">election equipment, supplies, and personnel </w:t>
                  </w:r>
                  <w:r>
                    <w:rPr>
                      <w:u w:val="single"/>
                    </w:rPr>
                    <w:t>in:</w:t>
                  </w:r>
                </w:p>
                <w:p w:rsidR="00C24AC2" w:rsidRDefault="00065F28" w:rsidP="005C22FD">
                  <w:pPr>
                    <w:jc w:val="both"/>
                  </w:pPr>
                  <w:r>
                    <w:rPr>
                      <w:u w:val="single"/>
                    </w:rPr>
                    <w:t>(1)  a county with a population of less than 250,000 if the precinct has less than 500 registered voters; or</w:t>
                  </w:r>
                </w:p>
                <w:p w:rsidR="00C24AC2" w:rsidRDefault="00065F28" w:rsidP="005C22FD">
                  <w:pPr>
                    <w:jc w:val="both"/>
                  </w:pPr>
                  <w:r>
                    <w:rPr>
                      <w:u w:val="single"/>
                    </w:rPr>
                    <w:t>(2)  a county with a population of 250,000 or more regardless of the number of registered voters in</w:t>
                  </w:r>
                  <w:r>
                    <w:rPr>
                      <w:u w:val="single"/>
                    </w:rPr>
                    <w:t xml:space="preserve"> the precinct</w:t>
                  </w:r>
                  <w:r>
                    <w:t>.</w:t>
                  </w:r>
                </w:p>
                <w:p w:rsidR="00C24AC2" w:rsidRDefault="00065F28" w:rsidP="005C22F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C24AC2" w:rsidRDefault="00065F28" w:rsidP="005C22FD">
                  <w:pPr>
                    <w:jc w:val="both"/>
                  </w:pPr>
                  <w:r>
                    <w:t>SECTION 1.  Sections 42.0051(a) and (d), Election Code, are amended to read as follows:</w:t>
                  </w:r>
                </w:p>
                <w:p w:rsidR="00C24AC2" w:rsidRDefault="00065F28" w:rsidP="005C22FD">
                  <w:pPr>
                    <w:jc w:val="both"/>
                  </w:pPr>
                  <w:r>
                    <w:t xml:space="preserve">(a)  </w:t>
                  </w:r>
                  <w:r>
                    <w:rPr>
                      <w:u w:val="single"/>
                    </w:rPr>
                    <w:t>A</w:t>
                  </w:r>
                  <w:r>
                    <w:t xml:space="preserve"> [</w:t>
                  </w:r>
                  <w:r>
                    <w:rPr>
                      <w:strike/>
                    </w:rPr>
                    <w:t>If changes in county election precinct boundaries to give effect to a redistricting plan result in county election precincts with a number of re</w:t>
                  </w:r>
                  <w:r>
                    <w:rPr>
                      <w:strike/>
                    </w:rPr>
                    <w:t>gistered voters less than 500, a</w:t>
                  </w:r>
                  <w:r>
                    <w:t>] commissioners court for a general or special election[</w:t>
                  </w:r>
                  <w:r>
                    <w:rPr>
                      <w:strike/>
                    </w:rPr>
                    <w:t>,</w:t>
                  </w:r>
                  <w:r>
                    <w:t>] or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for a primary election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the county executive committee of a political party conducting a primary election, may combine county election precincts notwithstanding </w:t>
                  </w:r>
                  <w:r>
                    <w:t xml:space="preserve">Section 42.005 to avoid unreasonable expenditures for election equipment, supplies, and personnel </w:t>
                  </w:r>
                  <w:r>
                    <w:rPr>
                      <w:u w:val="single"/>
                    </w:rPr>
                    <w:t>in:</w:t>
                  </w:r>
                </w:p>
                <w:p w:rsidR="00C24AC2" w:rsidRDefault="00065F28" w:rsidP="005C22FD">
                  <w:pPr>
                    <w:jc w:val="both"/>
                  </w:pPr>
                  <w:r>
                    <w:rPr>
                      <w:u w:val="single"/>
                    </w:rPr>
                    <w:t>(1)  a county with a population of less than 250,000 if the precinct has less than 500 registered voters; or</w:t>
                  </w:r>
                </w:p>
                <w:p w:rsidR="00C24AC2" w:rsidRDefault="00065F28" w:rsidP="005C22FD">
                  <w:pPr>
                    <w:jc w:val="both"/>
                  </w:pPr>
                  <w:r>
                    <w:rPr>
                      <w:u w:val="single"/>
                    </w:rPr>
                    <w:t>(2)  a county with a population of 250,000 or</w:t>
                  </w:r>
                  <w:r>
                    <w:rPr>
                      <w:u w:val="single"/>
                    </w:rPr>
                    <w:t xml:space="preserve"> more regardless of the number of registered voters in the precinct</w:t>
                  </w:r>
                  <w:r>
                    <w:t>.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</w:rPr>
                    <w:t>(d)  A combined precinct may not be established if it: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</w:rPr>
                    <w:t>(1)  results in a dilution of voting strength of a group covered by the federal Voting Rights Act (42 U.S.C. Section 1973c et seq.);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</w:rPr>
                    <w:t>(2)  results in a dilution of representation of a group covered by the Voting Rights Act in any political or electoral process or procedure; [</w:t>
                  </w:r>
                  <w:r w:rsidRPr="00D27D77">
                    <w:rPr>
                      <w:strike/>
                      <w:highlight w:val="lightGray"/>
                    </w:rPr>
                    <w:t>or</w:t>
                  </w:r>
                  <w:r w:rsidRPr="00D27D77">
                    <w:rPr>
                      <w:highlight w:val="lightGray"/>
                    </w:rPr>
                    <w:t>]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</w:rPr>
                    <w:t>(3)  results in discouraging participation by a group covered by the Voting Rights Act in any political or el</w:t>
                  </w:r>
                  <w:r w:rsidRPr="00D27D77">
                    <w:rPr>
                      <w:highlight w:val="lightGray"/>
                    </w:rPr>
                    <w:t>ectoral process or procedure because of the location of a polling place or other factors</w:t>
                  </w:r>
                  <w:r w:rsidRPr="00D27D77">
                    <w:rPr>
                      <w:highlight w:val="lightGray"/>
                      <w:u w:val="single"/>
                    </w:rPr>
                    <w:t>; or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  <w:u w:val="single"/>
                    </w:rPr>
                    <w:t>(4)  contains a county election precinct with at least 500 registered voters but less than 750 registered voters and: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  <w:u w:val="single"/>
                    </w:rPr>
                    <w:t>(A)  the location of the polling place for th</w:t>
                  </w:r>
                  <w:r w:rsidRPr="00D27D77">
                    <w:rPr>
                      <w:highlight w:val="lightGray"/>
                      <w:u w:val="single"/>
                    </w:rPr>
                    <w:t>e combined precinct is different from the location used for the county election precinct in the preceding election ordered by the same authority; and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  <w:u w:val="single"/>
                    </w:rPr>
                    <w:t>(B)  the polling place used for the county election precinct in the preceding election ordered by the same</w:t>
                  </w:r>
                  <w:r w:rsidRPr="00D27D77">
                    <w:rPr>
                      <w:highlight w:val="lightGray"/>
                      <w:u w:val="single"/>
                    </w:rPr>
                    <w:t xml:space="preserve"> authority:</w:t>
                  </w:r>
                </w:p>
                <w:p w:rsidR="00C24AC2" w:rsidRPr="00D27D77" w:rsidRDefault="00065F28" w:rsidP="005C22FD">
                  <w:pPr>
                    <w:jc w:val="both"/>
                    <w:rPr>
                      <w:highlight w:val="lightGray"/>
                    </w:rPr>
                  </w:pPr>
                  <w:r w:rsidRPr="00D27D77">
                    <w:rPr>
                      <w:highlight w:val="lightGray"/>
                      <w:u w:val="single"/>
                    </w:rPr>
                    <w:lastRenderedPageBreak/>
                    <w:t>(i)  is available to be used as a polling place; and</w:t>
                  </w:r>
                </w:p>
                <w:p w:rsidR="00C24AC2" w:rsidRDefault="00065F28" w:rsidP="005C22FD">
                  <w:pPr>
                    <w:jc w:val="both"/>
                  </w:pPr>
                  <w:r w:rsidRPr="00D27D77">
                    <w:rPr>
                      <w:highlight w:val="lightGray"/>
                      <w:u w:val="single"/>
                    </w:rPr>
                    <w:t>(ii)  complies with the accessibility requirements established by Sections 43.034 and 61.012</w:t>
                  </w:r>
                  <w:r w:rsidRPr="00D27D77">
                    <w:rPr>
                      <w:highlight w:val="lightGray"/>
                    </w:rPr>
                    <w:t>.</w:t>
                  </w:r>
                </w:p>
              </w:tc>
            </w:tr>
            <w:tr w:rsidR="00577894" w:rsidTr="00C24AC2">
              <w:tc>
                <w:tcPr>
                  <w:tcW w:w="4673" w:type="dxa"/>
                  <w:tcMar>
                    <w:right w:w="360" w:type="dxa"/>
                  </w:tcMar>
                </w:tcPr>
                <w:p w:rsidR="00C24AC2" w:rsidRDefault="00065F28" w:rsidP="005C22FD">
                  <w:pPr>
                    <w:jc w:val="both"/>
                  </w:pPr>
                  <w:r>
                    <w:lastRenderedPageBreak/>
                    <w:t>SECTION 2.  Section 42.0051(b), Election Code, is repealed.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C24AC2" w:rsidRDefault="00065F28" w:rsidP="005C22FD">
                  <w:pPr>
                    <w:jc w:val="both"/>
                  </w:pPr>
                  <w:r>
                    <w:t>SECTION 2. Same as introduced versio</w:t>
                  </w:r>
                  <w:r>
                    <w:t>n.</w:t>
                  </w:r>
                </w:p>
                <w:p w:rsidR="00C24AC2" w:rsidRDefault="00065F28" w:rsidP="005C22FD">
                  <w:pPr>
                    <w:jc w:val="both"/>
                  </w:pPr>
                </w:p>
              </w:tc>
            </w:tr>
            <w:tr w:rsidR="00577894" w:rsidTr="00C24AC2">
              <w:tc>
                <w:tcPr>
                  <w:tcW w:w="4673" w:type="dxa"/>
                  <w:tcMar>
                    <w:right w:w="360" w:type="dxa"/>
                  </w:tcMar>
                </w:tcPr>
                <w:p w:rsidR="00C24AC2" w:rsidRDefault="00065F28" w:rsidP="005C22FD">
                  <w:pPr>
                    <w:jc w:val="both"/>
                  </w:pPr>
                  <w:r>
                    <w:t>SECTION 3.  This Act takes effect immediately if it receives a vote of two-thirds of all the members elected to each house, as provided by Section 39, Article III, Texas Constitution.  If this Act does not receive the vote necessary for immediate effe</w:t>
                  </w:r>
                  <w:r>
                    <w:t>ct, this Act takes effect September 1, 2017.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C24AC2" w:rsidRDefault="00065F28" w:rsidP="005C22FD">
                  <w:pPr>
                    <w:jc w:val="both"/>
                  </w:pPr>
                  <w:r>
                    <w:t>SECTION 3. Same as introduced version.</w:t>
                  </w:r>
                </w:p>
                <w:p w:rsidR="00C24AC2" w:rsidRDefault="00065F28" w:rsidP="005C22FD">
                  <w:pPr>
                    <w:jc w:val="both"/>
                  </w:pPr>
                </w:p>
                <w:p w:rsidR="00C24AC2" w:rsidRDefault="00065F28" w:rsidP="005C22FD">
                  <w:pPr>
                    <w:jc w:val="both"/>
                  </w:pPr>
                </w:p>
              </w:tc>
            </w:tr>
          </w:tbl>
          <w:p w:rsidR="00C24AC2" w:rsidRDefault="00065F28" w:rsidP="005C22FD"/>
          <w:p w:rsidR="00C24AC2" w:rsidRPr="009C1E9A" w:rsidRDefault="00065F28" w:rsidP="005C22FD">
            <w:pPr>
              <w:rPr>
                <w:b/>
                <w:u w:val="single"/>
              </w:rPr>
            </w:pPr>
          </w:p>
        </w:tc>
      </w:tr>
    </w:tbl>
    <w:p w:rsidR="008423E4" w:rsidRPr="00BE0E75" w:rsidRDefault="00065F2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65F2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5F28">
      <w:r>
        <w:separator/>
      </w:r>
    </w:p>
  </w:endnote>
  <w:endnote w:type="continuationSeparator" w:id="0">
    <w:p w:rsidR="00000000" w:rsidRDefault="0006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DC" w:rsidRDefault="00065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77894" w:rsidTr="009C1E9A">
      <w:trPr>
        <w:cantSplit/>
      </w:trPr>
      <w:tc>
        <w:tcPr>
          <w:tcW w:w="0" w:type="pct"/>
        </w:tcPr>
        <w:p w:rsidR="00137D90" w:rsidRDefault="00065F2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65F2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65F2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65F2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65F2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7894" w:rsidTr="009C1E9A">
      <w:trPr>
        <w:cantSplit/>
      </w:trPr>
      <w:tc>
        <w:tcPr>
          <w:tcW w:w="0" w:type="pct"/>
        </w:tcPr>
        <w:p w:rsidR="00EC379B" w:rsidRDefault="00065F2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65F2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26330</w:t>
          </w:r>
        </w:p>
      </w:tc>
      <w:tc>
        <w:tcPr>
          <w:tcW w:w="2453" w:type="pct"/>
        </w:tcPr>
        <w:p w:rsidR="00EC379B" w:rsidRDefault="00065F2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17.116.423</w:t>
          </w:r>
          <w:r>
            <w:fldChar w:fldCharType="end"/>
          </w:r>
        </w:p>
      </w:tc>
    </w:tr>
    <w:tr w:rsidR="00577894" w:rsidTr="009C1E9A">
      <w:trPr>
        <w:cantSplit/>
      </w:trPr>
      <w:tc>
        <w:tcPr>
          <w:tcW w:w="0" w:type="pct"/>
        </w:tcPr>
        <w:p w:rsidR="00EC379B" w:rsidRDefault="00065F2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65F2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85R 25054</w:t>
          </w:r>
        </w:p>
      </w:tc>
      <w:tc>
        <w:tcPr>
          <w:tcW w:w="2453" w:type="pct"/>
        </w:tcPr>
        <w:p w:rsidR="00EC379B" w:rsidRDefault="00065F28" w:rsidP="006D504F">
          <w:pPr>
            <w:pStyle w:val="Footer"/>
            <w:rPr>
              <w:rStyle w:val="PageNumber"/>
            </w:rPr>
          </w:pPr>
        </w:p>
        <w:p w:rsidR="00EC379B" w:rsidRDefault="00065F2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789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65F2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65F2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65F2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DC" w:rsidRDefault="00065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5F28">
      <w:r>
        <w:separator/>
      </w:r>
    </w:p>
  </w:footnote>
  <w:footnote w:type="continuationSeparator" w:id="0">
    <w:p w:rsidR="00000000" w:rsidRDefault="0006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DC" w:rsidRDefault="00065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DC" w:rsidRDefault="00065F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DC" w:rsidRDefault="00065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94"/>
    <w:rsid w:val="00065F28"/>
    <w:rsid w:val="005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50F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EA"/>
  </w:style>
  <w:style w:type="paragraph" w:styleId="CommentSubject">
    <w:name w:val="annotation subject"/>
    <w:basedOn w:val="CommentText"/>
    <w:next w:val="CommentText"/>
    <w:link w:val="CommentSubjectChar"/>
    <w:rsid w:val="00F5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0FEA"/>
    <w:rPr>
      <w:b/>
      <w:bCs/>
    </w:rPr>
  </w:style>
  <w:style w:type="paragraph" w:styleId="Revision">
    <w:name w:val="Revision"/>
    <w:hidden/>
    <w:uiPriority w:val="99"/>
    <w:semiHidden/>
    <w:rsid w:val="00307D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50F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EA"/>
  </w:style>
  <w:style w:type="paragraph" w:styleId="CommentSubject">
    <w:name w:val="annotation subject"/>
    <w:basedOn w:val="CommentText"/>
    <w:next w:val="CommentText"/>
    <w:link w:val="CommentSubjectChar"/>
    <w:rsid w:val="00F5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0FEA"/>
    <w:rPr>
      <w:b/>
      <w:bCs/>
    </w:rPr>
  </w:style>
  <w:style w:type="paragraph" w:styleId="Revision">
    <w:name w:val="Revision"/>
    <w:hidden/>
    <w:uiPriority w:val="99"/>
    <w:semiHidden/>
    <w:rsid w:val="00307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5114</Characters>
  <Application>Microsoft Office Word</Application>
  <DocSecurity>4</DocSecurity>
  <Lines>157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HB01594 (Committee Report (Substituted))</vt:lpstr>
    </vt:vector>
  </TitlesOfParts>
  <Company>State of Texas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26330</dc:subject>
  <dc:creator>State of Texas</dc:creator>
  <dc:description>HB 1594 by Bohac-(H)Elections (Substitute Document Number: 85R 25054)</dc:description>
  <cp:lastModifiedBy>Brianna Weis</cp:lastModifiedBy>
  <cp:revision>2</cp:revision>
  <cp:lastPrinted>2017-04-27T15:31:00Z</cp:lastPrinted>
  <dcterms:created xsi:type="dcterms:W3CDTF">2017-05-03T01:15:00Z</dcterms:created>
  <dcterms:modified xsi:type="dcterms:W3CDTF">2017-05-03T01:15:00Z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17.116.423</vt:lpwstr>
  </property>
</Properties>
</file>