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86B1A" w:rsidTr="006E5E49">
        <w:tc>
          <w:tcPr>
            <w:tcW w:w="9576" w:type="dxa"/>
            <w:noWrap/>
          </w:tcPr>
          <w:p w:rsidR="008423E4" w:rsidRPr="0022177D" w:rsidRDefault="00F10918" w:rsidP="006E5E4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10918" w:rsidP="008423E4">
      <w:pPr>
        <w:jc w:val="center"/>
      </w:pPr>
    </w:p>
    <w:p w:rsidR="008423E4" w:rsidRPr="00B31F0E" w:rsidRDefault="00F10918" w:rsidP="008423E4"/>
    <w:p w:rsidR="008423E4" w:rsidRPr="00742794" w:rsidRDefault="00F1091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86B1A" w:rsidTr="006E5E49">
        <w:tc>
          <w:tcPr>
            <w:tcW w:w="9576" w:type="dxa"/>
          </w:tcPr>
          <w:p w:rsidR="008423E4" w:rsidRPr="00861995" w:rsidRDefault="00F10918" w:rsidP="006E5E49">
            <w:pPr>
              <w:jc w:val="right"/>
            </w:pPr>
            <w:r>
              <w:t>C.S.H.B. 1639</w:t>
            </w:r>
          </w:p>
        </w:tc>
      </w:tr>
      <w:tr w:rsidR="00986B1A" w:rsidTr="006E5E49">
        <w:tc>
          <w:tcPr>
            <w:tcW w:w="9576" w:type="dxa"/>
          </w:tcPr>
          <w:p w:rsidR="008423E4" w:rsidRPr="00861995" w:rsidRDefault="00F10918" w:rsidP="007B0976">
            <w:pPr>
              <w:jc w:val="right"/>
            </w:pPr>
            <w:r>
              <w:t xml:space="preserve">By: </w:t>
            </w:r>
            <w:r>
              <w:t>Vo</w:t>
            </w:r>
          </w:p>
        </w:tc>
      </w:tr>
      <w:tr w:rsidR="00986B1A" w:rsidTr="006E5E49">
        <w:tc>
          <w:tcPr>
            <w:tcW w:w="9576" w:type="dxa"/>
          </w:tcPr>
          <w:p w:rsidR="008423E4" w:rsidRPr="00861995" w:rsidRDefault="00F10918" w:rsidP="006E5E49">
            <w:pPr>
              <w:jc w:val="right"/>
            </w:pPr>
            <w:r>
              <w:t>Elections</w:t>
            </w:r>
          </w:p>
        </w:tc>
      </w:tr>
      <w:tr w:rsidR="00986B1A" w:rsidTr="006E5E49">
        <w:tc>
          <w:tcPr>
            <w:tcW w:w="9576" w:type="dxa"/>
          </w:tcPr>
          <w:p w:rsidR="008423E4" w:rsidRDefault="00F10918" w:rsidP="006E5E4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10918" w:rsidP="008423E4">
      <w:pPr>
        <w:tabs>
          <w:tab w:val="right" w:pos="9360"/>
        </w:tabs>
      </w:pPr>
    </w:p>
    <w:p w:rsidR="008423E4" w:rsidRDefault="00F10918" w:rsidP="008423E4"/>
    <w:p w:rsidR="008423E4" w:rsidRDefault="00F1091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986B1A" w:rsidTr="007B0976">
        <w:tc>
          <w:tcPr>
            <w:tcW w:w="9582" w:type="dxa"/>
          </w:tcPr>
          <w:p w:rsidR="008423E4" w:rsidRPr="00A8133F" w:rsidRDefault="00F10918" w:rsidP="005C4FC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10918" w:rsidP="005C4FCB"/>
          <w:p w:rsidR="008423E4" w:rsidRDefault="00F10918" w:rsidP="005C4F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are concerned</w:t>
            </w:r>
            <w:r>
              <w:t xml:space="preserve"> that </w:t>
            </w:r>
            <w:r w:rsidRPr="00803D5D">
              <w:t>political part</w:t>
            </w:r>
            <w:r>
              <w:t>ies</w:t>
            </w:r>
            <w:r w:rsidRPr="00803D5D">
              <w:t xml:space="preserve"> </w:t>
            </w:r>
            <w:r>
              <w:t xml:space="preserve">lack an efficient means of informing their constituencies </w:t>
            </w:r>
            <w:r>
              <w:t>about party</w:t>
            </w:r>
            <w:r w:rsidRPr="00803D5D">
              <w:t xml:space="preserve"> convention</w:t>
            </w:r>
            <w:r>
              <w:t>s</w:t>
            </w:r>
            <w:r w:rsidRPr="00803D5D">
              <w:t xml:space="preserve"> and other party information. </w:t>
            </w:r>
            <w:r>
              <w:t>C.S.</w:t>
            </w:r>
            <w:r>
              <w:t xml:space="preserve">H.B. 1639 seeks to provide </w:t>
            </w:r>
            <w:r>
              <w:t xml:space="preserve">for </w:t>
            </w:r>
            <w:r>
              <w:t xml:space="preserve">such means by </w:t>
            </w:r>
            <w:r>
              <w:t>authorizing</w:t>
            </w:r>
            <w:r w:rsidRPr="00803D5D">
              <w:t xml:space="preserve"> </w:t>
            </w:r>
            <w:r>
              <w:t>the distribution of</w:t>
            </w:r>
            <w:r w:rsidRPr="00803D5D">
              <w:t xml:space="preserve"> </w:t>
            </w:r>
            <w:r w:rsidRPr="00803D5D">
              <w:t xml:space="preserve">a </w:t>
            </w:r>
            <w:r>
              <w:t>notice regarding party conventions and other relevant information</w:t>
            </w:r>
            <w:r w:rsidRPr="00803D5D">
              <w:t>.</w:t>
            </w:r>
          </w:p>
          <w:p w:rsidR="008423E4" w:rsidRPr="00E26B13" w:rsidRDefault="00F10918" w:rsidP="005C4FCB">
            <w:pPr>
              <w:rPr>
                <w:b/>
              </w:rPr>
            </w:pPr>
          </w:p>
        </w:tc>
      </w:tr>
      <w:tr w:rsidR="00986B1A" w:rsidTr="007B0976">
        <w:tc>
          <w:tcPr>
            <w:tcW w:w="9582" w:type="dxa"/>
          </w:tcPr>
          <w:p w:rsidR="0017725B" w:rsidRDefault="00F10918" w:rsidP="005C4F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10918" w:rsidP="005C4FCB">
            <w:pPr>
              <w:rPr>
                <w:b/>
                <w:u w:val="single"/>
              </w:rPr>
            </w:pPr>
          </w:p>
          <w:p w:rsidR="00F300B8" w:rsidRPr="00F300B8" w:rsidRDefault="00F10918" w:rsidP="005C4FCB">
            <w:pPr>
              <w:jc w:val="both"/>
            </w:pPr>
            <w:r>
              <w:t>It is the committee's opinion that this bill does</w:t>
            </w:r>
            <w:r>
              <w:t xml:space="preserve">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10918" w:rsidP="005C4FCB">
            <w:pPr>
              <w:rPr>
                <w:b/>
                <w:u w:val="single"/>
              </w:rPr>
            </w:pPr>
          </w:p>
        </w:tc>
      </w:tr>
      <w:tr w:rsidR="00986B1A" w:rsidTr="007B0976">
        <w:tc>
          <w:tcPr>
            <w:tcW w:w="9582" w:type="dxa"/>
          </w:tcPr>
          <w:p w:rsidR="008423E4" w:rsidRPr="00A8133F" w:rsidRDefault="00F10918" w:rsidP="005C4FC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10918" w:rsidP="005C4FCB"/>
          <w:p w:rsidR="00F300B8" w:rsidRDefault="00F10918" w:rsidP="005C4F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</w:t>
            </w:r>
            <w:r>
              <w:t>e committee's opinion that rulemaking authority is expressly granted to the secretary of state in SECTION 2 of this bill.</w:t>
            </w:r>
          </w:p>
          <w:p w:rsidR="008423E4" w:rsidRPr="00E21FDC" w:rsidRDefault="00F10918" w:rsidP="005C4FCB">
            <w:pPr>
              <w:rPr>
                <w:b/>
              </w:rPr>
            </w:pPr>
          </w:p>
        </w:tc>
      </w:tr>
      <w:tr w:rsidR="00986B1A" w:rsidTr="007B0976">
        <w:tc>
          <w:tcPr>
            <w:tcW w:w="9582" w:type="dxa"/>
          </w:tcPr>
          <w:p w:rsidR="008423E4" w:rsidRPr="00A8133F" w:rsidRDefault="00F10918" w:rsidP="005C4FC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10918" w:rsidP="005C4FCB"/>
          <w:p w:rsidR="003D3D53" w:rsidRDefault="00F10918" w:rsidP="005C4FCB">
            <w:pPr>
              <w:pStyle w:val="Header"/>
              <w:jc w:val="both"/>
            </w:pPr>
            <w:r>
              <w:t>C.S.</w:t>
            </w:r>
            <w:r>
              <w:t xml:space="preserve">H.B. 1639 amends the Election Code to authorize a </w:t>
            </w:r>
            <w:r w:rsidRPr="006E39EC">
              <w:t xml:space="preserve">political party </w:t>
            </w:r>
            <w:r>
              <w:t>to</w:t>
            </w:r>
            <w:r w:rsidRPr="006E39EC">
              <w:t xml:space="preserve"> prepare a notice</w:t>
            </w:r>
            <w:r>
              <w:t xml:space="preserve"> not larger than letter-sized</w:t>
            </w:r>
            <w:r w:rsidRPr="006E39EC">
              <w:t xml:space="preserve"> for distribution to each voter participating in the party's primary election at the time the voter is accepted for voting. The </w:t>
            </w:r>
            <w:r>
              <w:t xml:space="preserve">bill </w:t>
            </w:r>
            <w:r>
              <w:t xml:space="preserve">authorizes </w:t>
            </w:r>
            <w:r>
              <w:t xml:space="preserve">the </w:t>
            </w:r>
            <w:r w:rsidRPr="006E39EC">
              <w:t xml:space="preserve">notice </w:t>
            </w:r>
            <w:r>
              <w:t>to</w:t>
            </w:r>
            <w:r w:rsidRPr="006E39EC">
              <w:t xml:space="preserve"> </w:t>
            </w:r>
            <w:r>
              <w:t xml:space="preserve">include information describing the party's convention process, </w:t>
            </w:r>
            <w:r w:rsidRPr="006E39EC">
              <w:t xml:space="preserve">information detailing the time and </w:t>
            </w:r>
            <w:r w:rsidRPr="006E39EC">
              <w:t xml:space="preserve">place of the party's </w:t>
            </w:r>
            <w:r>
              <w:t xml:space="preserve">first level </w:t>
            </w:r>
            <w:r w:rsidRPr="006E39EC">
              <w:t>convention</w:t>
            </w:r>
            <w:r>
              <w:t xml:space="preserve"> process,</w:t>
            </w:r>
            <w:r>
              <w:t xml:space="preserve"> </w:t>
            </w:r>
            <w:r w:rsidRPr="006E39EC">
              <w:t>contact information for the county and state political parties</w:t>
            </w:r>
            <w:r>
              <w:t>,</w:t>
            </w:r>
            <w:r w:rsidRPr="006E39EC">
              <w:t xml:space="preserve"> and website links for information and registration for party conventions.</w:t>
            </w:r>
            <w:r>
              <w:t xml:space="preserve"> </w:t>
            </w:r>
            <w:r>
              <w:t xml:space="preserve">The bill requires the </w:t>
            </w:r>
            <w:r w:rsidRPr="004839CD">
              <w:t>state chair of a political party</w:t>
            </w:r>
            <w:r>
              <w:t xml:space="preserve"> to </w:t>
            </w:r>
            <w:r w:rsidRPr="004839CD">
              <w:t>prescri</w:t>
            </w:r>
            <w:r w:rsidRPr="004839CD">
              <w:t xml:space="preserve">be a form for a notice that </w:t>
            </w:r>
            <w:r>
              <w:t>may</w:t>
            </w:r>
            <w:r>
              <w:t xml:space="preserve"> be used in any county and</w:t>
            </w:r>
            <w:r w:rsidRPr="004839CD">
              <w:t xml:space="preserve"> </w:t>
            </w:r>
            <w:r>
              <w:t>authorizes a</w:t>
            </w:r>
            <w:r w:rsidRPr="004839CD">
              <w:t xml:space="preserve"> county chair of a political party </w:t>
            </w:r>
            <w:r>
              <w:t>to</w:t>
            </w:r>
            <w:r w:rsidRPr="004839CD">
              <w:t xml:space="preserve"> prescribe a specific notice </w:t>
            </w:r>
            <w:r>
              <w:t xml:space="preserve">for the county chair's county. </w:t>
            </w:r>
            <w:r w:rsidRPr="004839CD">
              <w:t>The</w:t>
            </w:r>
            <w:r>
              <w:t xml:space="preserve"> bill requires the</w:t>
            </w:r>
            <w:r w:rsidRPr="004839CD">
              <w:t xml:space="preserve"> same notice </w:t>
            </w:r>
            <w:r>
              <w:t>to</w:t>
            </w:r>
            <w:r w:rsidRPr="004839CD">
              <w:t xml:space="preserve"> be used in all precincts within a county.</w:t>
            </w:r>
            <w:r>
              <w:t xml:space="preserve"> </w:t>
            </w:r>
          </w:p>
          <w:p w:rsidR="003D3D53" w:rsidRDefault="00F10918" w:rsidP="005C4FCB">
            <w:pPr>
              <w:pStyle w:val="Header"/>
            </w:pPr>
          </w:p>
          <w:p w:rsidR="004839CD" w:rsidRDefault="00F10918" w:rsidP="005C4FCB">
            <w:pPr>
              <w:pStyle w:val="Header"/>
              <w:jc w:val="both"/>
            </w:pPr>
            <w:r>
              <w:t>C.S.H.B.</w:t>
            </w:r>
            <w:r>
              <w:t xml:space="preserve"> 1639 requires a</w:t>
            </w:r>
            <w:r w:rsidRPr="004839CD">
              <w:t xml:space="preserve"> notice </w:t>
            </w:r>
            <w:r>
              <w:t>to</w:t>
            </w:r>
            <w:r w:rsidRPr="004839CD">
              <w:t xml:space="preserve"> be approved by the secretary of st</w:t>
            </w:r>
            <w:r>
              <w:t xml:space="preserve">ate and </w:t>
            </w:r>
            <w:r>
              <w:t xml:space="preserve">provides that </w:t>
            </w:r>
            <w:r>
              <w:t xml:space="preserve">only the convention location and time may be added </w:t>
            </w:r>
            <w:r>
              <w:t xml:space="preserve">without the secretary of state's approval </w:t>
            </w:r>
            <w:r>
              <w:t xml:space="preserve">to a notice prescribed by the state chair that is used by a county chair of a </w:t>
            </w:r>
            <w:r>
              <w:t>political party.</w:t>
            </w:r>
            <w:r>
              <w:t xml:space="preserve"> The bill requires a</w:t>
            </w:r>
            <w:r w:rsidRPr="00AF0E3C">
              <w:t xml:space="preserve"> county chair </w:t>
            </w:r>
            <w:r>
              <w:t>to</w:t>
            </w:r>
            <w:r w:rsidRPr="00AF0E3C">
              <w:t xml:space="preserve"> supply a notice prepared according to </w:t>
            </w:r>
            <w:r>
              <w:t>the bill's provisions</w:t>
            </w:r>
            <w:r w:rsidRPr="00AF0E3C">
              <w:t xml:space="preserve"> to the authority conducting the election not later than the 30th day before the date early voting by personal appearance begins.</w:t>
            </w:r>
            <w:r>
              <w:t xml:space="preserve"> The bill requi</w:t>
            </w:r>
            <w:r>
              <w:t>res t</w:t>
            </w:r>
            <w:r w:rsidRPr="00AF0E3C">
              <w:t xml:space="preserve">he secretary of state </w:t>
            </w:r>
            <w:r>
              <w:t>to</w:t>
            </w:r>
            <w:r w:rsidRPr="00AF0E3C">
              <w:t xml:space="preserve"> prescribe procedures and adopt rules as necessary to implement </w:t>
            </w:r>
            <w:r>
              <w:t>the bill's provisions</w:t>
            </w:r>
            <w:r w:rsidRPr="00AF0E3C">
              <w:t>.</w:t>
            </w:r>
          </w:p>
          <w:p w:rsidR="004839CD" w:rsidRDefault="00F10918" w:rsidP="005C4FCB">
            <w:pPr>
              <w:pStyle w:val="Header"/>
            </w:pPr>
          </w:p>
          <w:p w:rsidR="008423E4" w:rsidRDefault="00F10918" w:rsidP="005C4FCB">
            <w:pPr>
              <w:pStyle w:val="Header"/>
              <w:jc w:val="both"/>
            </w:pPr>
            <w:r>
              <w:t xml:space="preserve">C.S.H.B. 1639 </w:t>
            </w:r>
            <w:r>
              <w:t xml:space="preserve">authorizes </w:t>
            </w:r>
            <w:r>
              <w:t>an</w:t>
            </w:r>
            <w:r>
              <w:t xml:space="preserve"> </w:t>
            </w:r>
            <w:r>
              <w:t xml:space="preserve">affiliation certificate issued by </w:t>
            </w:r>
            <w:r>
              <w:t xml:space="preserve">a </w:t>
            </w:r>
            <w:r>
              <w:t xml:space="preserve">presiding </w:t>
            </w:r>
            <w:r>
              <w:t xml:space="preserve">election </w:t>
            </w:r>
            <w:r>
              <w:t xml:space="preserve">judge </w:t>
            </w:r>
            <w:r>
              <w:t xml:space="preserve">to </w:t>
            </w:r>
            <w:r>
              <w:t xml:space="preserve">a voter </w:t>
            </w:r>
            <w:r>
              <w:t xml:space="preserve">who </w:t>
            </w:r>
            <w:r>
              <w:t>is accepted to vote without present</w:t>
            </w:r>
            <w:r>
              <w:t xml:space="preserve">ing a </w:t>
            </w:r>
            <w:r>
              <w:t xml:space="preserve">voter </w:t>
            </w:r>
            <w:r>
              <w:t>registration certificate</w:t>
            </w:r>
            <w:r>
              <w:t xml:space="preserve"> to be combined with the party convention notice</w:t>
            </w:r>
            <w:r>
              <w:t xml:space="preserve">. The bill </w:t>
            </w:r>
            <w:r>
              <w:t xml:space="preserve">establishes that </w:t>
            </w:r>
            <w:r>
              <w:t>an election officer</w:t>
            </w:r>
            <w:r>
              <w:t xml:space="preserve"> at a primary election polling place is not required</w:t>
            </w:r>
            <w:r>
              <w:t xml:space="preserve"> to comply with </w:t>
            </w:r>
            <w:r>
              <w:t>the requirement</w:t>
            </w:r>
            <w:r>
              <w:t xml:space="preserve"> </w:t>
            </w:r>
            <w:r>
              <w:t>to stamp the party's name in the party af</w:t>
            </w:r>
            <w:r>
              <w:t xml:space="preserve">filiation space of </w:t>
            </w:r>
            <w:r>
              <w:t>a voter's</w:t>
            </w:r>
            <w:r>
              <w:t xml:space="preserve"> registration certificate</w:t>
            </w:r>
            <w:r>
              <w:t xml:space="preserve"> if the combined form is used</w:t>
            </w:r>
            <w:r>
              <w:t xml:space="preserve">.  </w:t>
            </w:r>
          </w:p>
          <w:p w:rsidR="008423E4" w:rsidRDefault="00F10918" w:rsidP="005C4FCB">
            <w:pPr>
              <w:rPr>
                <w:b/>
              </w:rPr>
            </w:pPr>
          </w:p>
          <w:p w:rsidR="005E4087" w:rsidRPr="00835628" w:rsidRDefault="00F10918" w:rsidP="005C4FCB">
            <w:pPr>
              <w:rPr>
                <w:b/>
              </w:rPr>
            </w:pPr>
          </w:p>
        </w:tc>
      </w:tr>
      <w:tr w:rsidR="00986B1A" w:rsidTr="007B0976">
        <w:tc>
          <w:tcPr>
            <w:tcW w:w="9582" w:type="dxa"/>
          </w:tcPr>
          <w:p w:rsidR="008423E4" w:rsidRPr="00A8133F" w:rsidRDefault="00F10918" w:rsidP="005C4FCB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10918" w:rsidP="005C4FCB"/>
          <w:p w:rsidR="008423E4" w:rsidRDefault="00F10918" w:rsidP="005C4F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F10918" w:rsidP="005C4FCB">
            <w:pPr>
              <w:rPr>
                <w:b/>
              </w:rPr>
            </w:pPr>
          </w:p>
        </w:tc>
      </w:tr>
      <w:tr w:rsidR="00986B1A" w:rsidTr="007B0976">
        <w:tc>
          <w:tcPr>
            <w:tcW w:w="9582" w:type="dxa"/>
          </w:tcPr>
          <w:p w:rsidR="007B0976" w:rsidRDefault="00F10918" w:rsidP="005C4FC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17D8E" w:rsidRDefault="00F10918" w:rsidP="005C4FCB">
            <w:pPr>
              <w:jc w:val="both"/>
            </w:pPr>
          </w:p>
          <w:p w:rsidR="00617D8E" w:rsidRDefault="00F10918" w:rsidP="005C4FCB">
            <w:pPr>
              <w:jc w:val="both"/>
            </w:pPr>
            <w:r>
              <w:t xml:space="preserve">While C.S.H.B. 1639 may </w:t>
            </w:r>
            <w:r>
              <w:t>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617D8E" w:rsidRPr="00617D8E" w:rsidRDefault="00F10918" w:rsidP="005C4FCB">
            <w:pPr>
              <w:jc w:val="both"/>
            </w:pPr>
          </w:p>
        </w:tc>
      </w:tr>
      <w:tr w:rsidR="00986B1A" w:rsidTr="007B0976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986B1A" w:rsidTr="007B0976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7B0976" w:rsidRDefault="00F10918" w:rsidP="005C4FCB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7B0976" w:rsidRDefault="00F10918" w:rsidP="005C4FCB">
                  <w:pPr>
                    <w:jc w:val="center"/>
                  </w:pPr>
                  <w:r>
                    <w:t>HOUSE CO</w:t>
                  </w:r>
                  <w:r>
                    <w:t>MMITTEE SUBSTITUTE</w:t>
                  </w:r>
                </w:p>
              </w:tc>
            </w:tr>
            <w:tr w:rsidR="00986B1A" w:rsidTr="007B0976">
              <w:tc>
                <w:tcPr>
                  <w:tcW w:w="4673" w:type="dxa"/>
                  <w:tcMar>
                    <w:right w:w="360" w:type="dxa"/>
                  </w:tcMar>
                </w:tcPr>
                <w:p w:rsidR="007B0976" w:rsidRDefault="00F10918" w:rsidP="005C4FCB">
                  <w:pPr>
                    <w:jc w:val="both"/>
                  </w:pPr>
                  <w:r>
                    <w:t>SECTION 1.  Section 162.004(c), Election Code,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B0976" w:rsidRDefault="00F10918" w:rsidP="005C4FCB">
                  <w:pPr>
                    <w:jc w:val="both"/>
                  </w:pPr>
                  <w:r>
                    <w:t>SECTION 1. Same as introduced version.</w:t>
                  </w:r>
                </w:p>
                <w:p w:rsidR="007B0976" w:rsidRDefault="00F10918" w:rsidP="005C4FCB">
                  <w:pPr>
                    <w:jc w:val="both"/>
                  </w:pPr>
                </w:p>
              </w:tc>
            </w:tr>
            <w:tr w:rsidR="00986B1A" w:rsidTr="007B0976">
              <w:tc>
                <w:tcPr>
                  <w:tcW w:w="4673" w:type="dxa"/>
                  <w:tcMar>
                    <w:right w:w="360" w:type="dxa"/>
                  </w:tcMar>
                </w:tcPr>
                <w:p w:rsidR="007B0976" w:rsidRDefault="00F10918" w:rsidP="005C4FCB">
                  <w:pPr>
                    <w:jc w:val="both"/>
                  </w:pPr>
                  <w:r>
                    <w:t>SECTION 2.  Subchapter E, Chapter 172, Election Code, is amended by adding Section 172.1114 to read as follows:</w:t>
                  </w:r>
                </w:p>
                <w:p w:rsidR="00362766" w:rsidRDefault="00F10918" w:rsidP="005C4FCB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172.1114.  DISTRIBUTION OF NOTICE OF CONVENTIONS.  </w:t>
                  </w:r>
                </w:p>
                <w:p w:rsidR="007E286A" w:rsidRDefault="00F10918" w:rsidP="005C4FCB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A political party may prepare a </w:t>
                  </w:r>
                  <w:r w:rsidRPr="00341994">
                    <w:rPr>
                      <w:highlight w:val="lightGray"/>
                      <w:u w:val="single"/>
                    </w:rPr>
                    <w:t>letter-sized</w:t>
                  </w:r>
                  <w:r>
                    <w:rPr>
                      <w:u w:val="single"/>
                    </w:rPr>
                    <w:t xml:space="preserve"> </w:t>
                  </w:r>
                  <w:r w:rsidRPr="00341994">
                    <w:rPr>
                      <w:highlight w:val="lightGray"/>
                      <w:u w:val="single"/>
                    </w:rPr>
                    <w:t>notice</w:t>
                  </w:r>
                  <w:r>
                    <w:rPr>
                      <w:u w:val="single"/>
                    </w:rPr>
                    <w:t xml:space="preserve"> for distribution to each voter participating in the party's primary election at the time the voter is accepted for voting.</w:t>
                  </w:r>
                </w:p>
                <w:p w:rsidR="007B0976" w:rsidRDefault="00F10918" w:rsidP="005C4FCB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B0976" w:rsidRDefault="00F10918" w:rsidP="005C4FCB">
                  <w:pPr>
                    <w:jc w:val="both"/>
                  </w:pPr>
                  <w:r>
                    <w:t xml:space="preserve">SECTION 2.  Subchapter </w:t>
                  </w:r>
                  <w:r>
                    <w:t>E, Chapter 172, Election Code, is amended by adding Section 172.1114 to read as follows:</w:t>
                  </w:r>
                </w:p>
                <w:p w:rsidR="00BC5421" w:rsidRDefault="00F10918" w:rsidP="005C4FCB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172.1114.  DISTRIBUTION OF NOTICE OF CONVENTIONS.  </w:t>
                  </w:r>
                </w:p>
                <w:p w:rsidR="007B0976" w:rsidRDefault="00F10918" w:rsidP="005C4FCB">
                  <w:pPr>
                    <w:jc w:val="both"/>
                  </w:pPr>
                  <w:r>
                    <w:rPr>
                      <w:u w:val="single"/>
                    </w:rPr>
                    <w:t xml:space="preserve">(a)  A political party may prepare a </w:t>
                  </w:r>
                  <w:r w:rsidRPr="00A01C74">
                    <w:rPr>
                      <w:highlight w:val="lightGray"/>
                      <w:u w:val="single"/>
                    </w:rPr>
                    <w:t>notice</w:t>
                  </w:r>
                  <w:r w:rsidRPr="00341994">
                    <w:rPr>
                      <w:u w:val="single"/>
                    </w:rPr>
                    <w:t xml:space="preserve"> </w:t>
                  </w:r>
                  <w:r w:rsidRPr="00362766">
                    <w:rPr>
                      <w:highlight w:val="lightGray"/>
                      <w:u w:val="single"/>
                    </w:rPr>
                    <w:t>not larger than</w:t>
                  </w:r>
                  <w:r w:rsidRPr="00341994">
                    <w:rPr>
                      <w:highlight w:val="lightGray"/>
                      <w:u w:val="single"/>
                    </w:rPr>
                    <w:t xml:space="preserve"> letter-sized</w:t>
                  </w:r>
                  <w:r>
                    <w:rPr>
                      <w:u w:val="single"/>
                    </w:rPr>
                    <w:t xml:space="preserve"> for distribution to each voter partic</w:t>
                  </w:r>
                  <w:r>
                    <w:rPr>
                      <w:u w:val="single"/>
                    </w:rPr>
                    <w:t>ipating in the party's primary election at the time the voter is accepted for voting.</w:t>
                  </w:r>
                </w:p>
              </w:tc>
            </w:tr>
            <w:tr w:rsidR="00986B1A" w:rsidTr="007B0976">
              <w:tc>
                <w:tcPr>
                  <w:tcW w:w="4673" w:type="dxa"/>
                  <w:tcMar>
                    <w:right w:w="360" w:type="dxa"/>
                  </w:tcMar>
                </w:tcPr>
                <w:p w:rsidR="00A970FB" w:rsidRDefault="00F10918" w:rsidP="005C4FCB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91349E">
                    <w:rPr>
                      <w:u w:val="single"/>
                    </w:rPr>
                    <w:t xml:space="preserve">The notice </w:t>
                  </w:r>
                  <w:r w:rsidRPr="00681341">
                    <w:rPr>
                      <w:highlight w:val="lightGray"/>
                      <w:u w:val="single"/>
                    </w:rPr>
                    <w:t xml:space="preserve">must contain </w:t>
                  </w:r>
                </w:p>
                <w:p w:rsidR="00A970FB" w:rsidRDefault="00F10918" w:rsidP="005C4FCB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A970FB" w:rsidRDefault="00F10918" w:rsidP="005C4FCB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BC2272" w:rsidRDefault="00F10918" w:rsidP="005C4FCB">
                  <w:pPr>
                    <w:jc w:val="both"/>
                  </w:pPr>
                  <w:r w:rsidRPr="0091349E">
                    <w:rPr>
                      <w:u w:val="single"/>
                    </w:rPr>
                    <w:t xml:space="preserve">information detailing the time and place of the party's </w:t>
                  </w:r>
                  <w:r w:rsidRPr="00681341">
                    <w:rPr>
                      <w:highlight w:val="lightGray"/>
                      <w:u w:val="single"/>
                    </w:rPr>
                    <w:t>conventions</w:t>
                  </w:r>
                  <w:r w:rsidRPr="0091349E">
                    <w:rPr>
                      <w:u w:val="single"/>
                    </w:rPr>
                    <w:t xml:space="preserve"> and may include contact information for the county and state political par</w:t>
                  </w:r>
                  <w:r w:rsidRPr="0091349E">
                    <w:rPr>
                      <w:u w:val="single"/>
                    </w:rPr>
                    <w:t>ties and website links for information and registration for party conventions.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BC2272" w:rsidRPr="00681341" w:rsidRDefault="00F10918" w:rsidP="005C4FCB">
                  <w:pPr>
                    <w:jc w:val="both"/>
                    <w:rPr>
                      <w:highlight w:val="lightGray"/>
                    </w:rPr>
                  </w:pPr>
                  <w:r w:rsidRPr="0091349E">
                    <w:rPr>
                      <w:u w:val="single"/>
                    </w:rPr>
                    <w:t xml:space="preserve">(b)  The notice </w:t>
                  </w:r>
                  <w:r w:rsidRPr="00681341">
                    <w:rPr>
                      <w:highlight w:val="lightGray"/>
                      <w:u w:val="single"/>
                    </w:rPr>
                    <w:t>may include:</w:t>
                  </w:r>
                </w:p>
                <w:p w:rsidR="00BC2272" w:rsidRPr="00681341" w:rsidRDefault="00F10918" w:rsidP="005C4FCB">
                  <w:pPr>
                    <w:jc w:val="both"/>
                    <w:rPr>
                      <w:highlight w:val="lightGray"/>
                    </w:rPr>
                  </w:pPr>
                  <w:r w:rsidRPr="00681341">
                    <w:rPr>
                      <w:highlight w:val="lightGray"/>
                      <w:u w:val="single"/>
                    </w:rPr>
                    <w:t>(1)  information describing the party's convention process;</w:t>
                  </w:r>
                </w:p>
                <w:p w:rsidR="00BC2272" w:rsidRPr="00681341" w:rsidRDefault="00F10918" w:rsidP="005C4FCB">
                  <w:pPr>
                    <w:jc w:val="both"/>
                    <w:rPr>
                      <w:highlight w:val="lightGray"/>
                    </w:rPr>
                  </w:pPr>
                  <w:r w:rsidRPr="0091349E">
                    <w:rPr>
                      <w:u w:val="single"/>
                    </w:rPr>
                    <w:t xml:space="preserve">(2)  information detailing the time and place of the party's </w:t>
                  </w:r>
                  <w:r w:rsidRPr="00681341">
                    <w:rPr>
                      <w:highlight w:val="lightGray"/>
                      <w:u w:val="single"/>
                    </w:rPr>
                    <w:t>first level convention proc</w:t>
                  </w:r>
                  <w:r w:rsidRPr="00681341">
                    <w:rPr>
                      <w:highlight w:val="lightGray"/>
                      <w:u w:val="single"/>
                    </w:rPr>
                    <w:t>ess;</w:t>
                  </w:r>
                </w:p>
                <w:p w:rsidR="00BC2272" w:rsidRPr="0091349E" w:rsidRDefault="00F10918" w:rsidP="005C4FCB">
                  <w:pPr>
                    <w:jc w:val="both"/>
                  </w:pPr>
                  <w:r w:rsidRPr="0091349E">
                    <w:rPr>
                      <w:u w:val="single"/>
                    </w:rPr>
                    <w:t>(3)  contact information for the county and state political parties; and</w:t>
                  </w:r>
                </w:p>
                <w:p w:rsidR="00BC2272" w:rsidRPr="00341994" w:rsidRDefault="00F10918" w:rsidP="005C4FCB">
                  <w:pPr>
                    <w:jc w:val="both"/>
                    <w:rPr>
                      <w:b/>
                    </w:rPr>
                  </w:pPr>
                  <w:r w:rsidRPr="0091349E">
                    <w:rPr>
                      <w:u w:val="single"/>
                    </w:rPr>
                    <w:t>(4)  website links for information and registration for party conventions.</w:t>
                  </w:r>
                </w:p>
              </w:tc>
            </w:tr>
            <w:tr w:rsidR="00986B1A" w:rsidTr="007B0976">
              <w:tc>
                <w:tcPr>
                  <w:tcW w:w="4673" w:type="dxa"/>
                  <w:tcMar>
                    <w:right w:w="360" w:type="dxa"/>
                  </w:tcMar>
                </w:tcPr>
                <w:p w:rsidR="00863AD9" w:rsidRDefault="00F10918" w:rsidP="005C4FCB">
                  <w:pPr>
                    <w:jc w:val="both"/>
                  </w:pPr>
                  <w:r w:rsidRPr="00341994">
                    <w:rPr>
                      <w:highlight w:val="lightGray"/>
                    </w:rPr>
                    <w:t>No equivalent provision.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863AD9" w:rsidRPr="00341994" w:rsidRDefault="00F10918" w:rsidP="005C4FCB">
                  <w:pPr>
                    <w:jc w:val="both"/>
                    <w:rPr>
                      <w:b/>
                    </w:rPr>
                  </w:pPr>
                  <w:r w:rsidRPr="00341994">
                    <w:rPr>
                      <w:u w:val="single"/>
                    </w:rPr>
                    <w:t>(c)  The state chair of a political party shall prescribe a form for a notice</w:t>
                  </w:r>
                  <w:r w:rsidRPr="00341994">
                    <w:rPr>
                      <w:u w:val="single"/>
                    </w:rPr>
                    <w:t xml:space="preserve"> that may be used in any county.  A county chair of a political party may prescribe a specific notice for the county chair's county.  The same notice must be used in all precincts within a county.</w:t>
                  </w:r>
                </w:p>
              </w:tc>
            </w:tr>
            <w:tr w:rsidR="00986B1A" w:rsidTr="007B0976">
              <w:tc>
                <w:tcPr>
                  <w:tcW w:w="4673" w:type="dxa"/>
                  <w:tcMar>
                    <w:right w:w="360" w:type="dxa"/>
                  </w:tcMar>
                </w:tcPr>
                <w:p w:rsidR="00863AD9" w:rsidRDefault="00F10918" w:rsidP="005C4FCB">
                  <w:pPr>
                    <w:jc w:val="both"/>
                  </w:pPr>
                  <w:r w:rsidRPr="0091349E">
                    <w:rPr>
                      <w:highlight w:val="lightGray"/>
                    </w:rPr>
                    <w:t>No equivalent provision.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863AD9" w:rsidRPr="00A970FB" w:rsidRDefault="00F10918" w:rsidP="005C4FCB">
                  <w:pPr>
                    <w:jc w:val="both"/>
                  </w:pPr>
                  <w:r w:rsidRPr="00341994">
                    <w:rPr>
                      <w:u w:val="single"/>
                    </w:rPr>
                    <w:t>(d)  A notice must be approved by</w:t>
                  </w:r>
                  <w:r w:rsidRPr="00341994">
                    <w:rPr>
                      <w:u w:val="single"/>
                    </w:rPr>
                    <w:t xml:space="preserve"> the secretary of state.  If a county chair of a political party uses the form of notice prescribed by the state chair, only the convention location and time may be added without the secretary of state's approval.</w:t>
                  </w:r>
                </w:p>
              </w:tc>
            </w:tr>
            <w:tr w:rsidR="00986B1A" w:rsidTr="007B0976">
              <w:tc>
                <w:tcPr>
                  <w:tcW w:w="4673" w:type="dxa"/>
                  <w:tcMar>
                    <w:right w:w="360" w:type="dxa"/>
                  </w:tcMar>
                </w:tcPr>
                <w:p w:rsidR="00632353" w:rsidRDefault="00F10918" w:rsidP="005C4FCB">
                  <w:pPr>
                    <w:jc w:val="both"/>
                  </w:pPr>
                  <w:r w:rsidRPr="0091349E">
                    <w:rPr>
                      <w:highlight w:val="lightGray"/>
                    </w:rPr>
                    <w:t>No equivalent provision.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32353" w:rsidRPr="00341994" w:rsidRDefault="00F10918" w:rsidP="005C4FCB">
                  <w:pPr>
                    <w:jc w:val="both"/>
                    <w:rPr>
                      <w:u w:val="single"/>
                    </w:rPr>
                  </w:pPr>
                  <w:r w:rsidRPr="00341994">
                    <w:rPr>
                      <w:u w:val="single"/>
                    </w:rPr>
                    <w:t>(e)  A county ch</w:t>
                  </w:r>
                  <w:r w:rsidRPr="00341994">
                    <w:rPr>
                      <w:u w:val="single"/>
                    </w:rPr>
                    <w:t xml:space="preserve">air of a political party shall supply a notice prepared according to this section to the authority conducting the election not later than the 30th day before </w:t>
                  </w:r>
                  <w:r w:rsidRPr="00341994">
                    <w:rPr>
                      <w:u w:val="single"/>
                    </w:rPr>
                    <w:lastRenderedPageBreak/>
                    <w:t>the date early voting by personal appearance begins.</w:t>
                  </w:r>
                </w:p>
              </w:tc>
            </w:tr>
            <w:tr w:rsidR="00986B1A" w:rsidTr="007B0976">
              <w:tc>
                <w:tcPr>
                  <w:tcW w:w="4673" w:type="dxa"/>
                  <w:tcMar>
                    <w:right w:w="360" w:type="dxa"/>
                  </w:tcMar>
                </w:tcPr>
                <w:p w:rsidR="00632353" w:rsidRDefault="00F10918" w:rsidP="005C4FCB">
                  <w:pPr>
                    <w:jc w:val="both"/>
                  </w:pPr>
                  <w:r w:rsidRPr="0091349E">
                    <w:rPr>
                      <w:highlight w:val="lightGray"/>
                    </w:rPr>
                    <w:lastRenderedPageBreak/>
                    <w:t>No equivalent provision.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32353" w:rsidRPr="00341994" w:rsidRDefault="00F10918" w:rsidP="005C4FCB">
                  <w:pPr>
                    <w:jc w:val="both"/>
                    <w:rPr>
                      <w:u w:val="single"/>
                    </w:rPr>
                  </w:pPr>
                  <w:r w:rsidRPr="00341994">
                    <w:rPr>
                      <w:u w:val="single"/>
                    </w:rPr>
                    <w:t xml:space="preserve">(f)  The secretary </w:t>
                  </w:r>
                  <w:r w:rsidRPr="00341994">
                    <w:rPr>
                      <w:u w:val="single"/>
                    </w:rPr>
                    <w:t>of state shall prescribe procedures and adopt rules as necessary to implement this section.</w:t>
                  </w:r>
                </w:p>
              </w:tc>
            </w:tr>
            <w:tr w:rsidR="00986B1A" w:rsidTr="007B0976">
              <w:tc>
                <w:tcPr>
                  <w:tcW w:w="4673" w:type="dxa"/>
                  <w:tcMar>
                    <w:right w:w="360" w:type="dxa"/>
                  </w:tcMar>
                </w:tcPr>
                <w:p w:rsidR="007B0976" w:rsidRDefault="00F10918" w:rsidP="005C4FCB">
                  <w:pPr>
                    <w:jc w:val="both"/>
                  </w:pPr>
                  <w:r>
                    <w:t>SECTION 3.  This Act takes effect immediately if it receives a vote of two-thirds of all the members elected to each house, as provided by Section 39, Article III,</w:t>
                  </w:r>
                  <w:r>
                    <w:t xml:space="preserve"> Texas Constitution.  If this Act does not receive the vote necessary for immediate effect, this Act takes effect September 1, 2017.</w:t>
                  </w:r>
                </w:p>
                <w:p w:rsidR="007B0976" w:rsidRDefault="00F10918" w:rsidP="005C4FCB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B0976" w:rsidRDefault="00F10918" w:rsidP="005C4FCB">
                  <w:pPr>
                    <w:jc w:val="both"/>
                  </w:pPr>
                  <w:r>
                    <w:t>SECTION 3. Same as introduced version.</w:t>
                  </w:r>
                </w:p>
                <w:p w:rsidR="007B0976" w:rsidRDefault="00F10918" w:rsidP="005C4FCB">
                  <w:pPr>
                    <w:jc w:val="both"/>
                  </w:pPr>
                </w:p>
                <w:p w:rsidR="007B0976" w:rsidRDefault="00F10918" w:rsidP="005C4FCB">
                  <w:pPr>
                    <w:jc w:val="both"/>
                  </w:pPr>
                </w:p>
              </w:tc>
            </w:tr>
          </w:tbl>
          <w:p w:rsidR="007B0976" w:rsidRDefault="00F10918" w:rsidP="005C4FCB"/>
          <w:p w:rsidR="007B0976" w:rsidRPr="009C1E9A" w:rsidRDefault="00F10918" w:rsidP="005C4FCB">
            <w:pPr>
              <w:rPr>
                <w:b/>
                <w:u w:val="single"/>
              </w:rPr>
            </w:pPr>
          </w:p>
        </w:tc>
      </w:tr>
    </w:tbl>
    <w:p w:rsidR="008423E4" w:rsidRPr="00BE0E75" w:rsidRDefault="00F1091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341994" w:rsidRDefault="00F10918" w:rsidP="008423E4">
      <w:pPr>
        <w:rPr>
          <w:sz w:val="2"/>
          <w:szCs w:val="2"/>
        </w:rPr>
      </w:pPr>
    </w:p>
    <w:sectPr w:rsidR="004108C3" w:rsidRPr="0034199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0918">
      <w:r>
        <w:separator/>
      </w:r>
    </w:p>
  </w:endnote>
  <w:endnote w:type="continuationSeparator" w:id="0">
    <w:p w:rsidR="00000000" w:rsidRDefault="00F1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86B1A" w:rsidTr="009C1E9A">
      <w:trPr>
        <w:cantSplit/>
      </w:trPr>
      <w:tc>
        <w:tcPr>
          <w:tcW w:w="0" w:type="pct"/>
        </w:tcPr>
        <w:p w:rsidR="00137D90" w:rsidRDefault="00F109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109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109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109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109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6B1A" w:rsidTr="009C1E9A">
      <w:trPr>
        <w:cantSplit/>
      </w:trPr>
      <w:tc>
        <w:tcPr>
          <w:tcW w:w="0" w:type="pct"/>
        </w:tcPr>
        <w:p w:rsidR="00EC379B" w:rsidRDefault="00F109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1091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18905</w:t>
          </w:r>
        </w:p>
      </w:tc>
      <w:tc>
        <w:tcPr>
          <w:tcW w:w="2453" w:type="pct"/>
        </w:tcPr>
        <w:p w:rsidR="00EC379B" w:rsidRDefault="00F109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17.81.481</w:t>
          </w:r>
          <w:r>
            <w:fldChar w:fldCharType="end"/>
          </w:r>
        </w:p>
      </w:tc>
    </w:tr>
    <w:tr w:rsidR="00986B1A" w:rsidTr="009C1E9A">
      <w:trPr>
        <w:cantSplit/>
      </w:trPr>
      <w:tc>
        <w:tcPr>
          <w:tcW w:w="0" w:type="pct"/>
        </w:tcPr>
        <w:p w:rsidR="00EC379B" w:rsidRDefault="00F109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109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17526</w:t>
          </w:r>
        </w:p>
      </w:tc>
      <w:tc>
        <w:tcPr>
          <w:tcW w:w="2453" w:type="pct"/>
        </w:tcPr>
        <w:p w:rsidR="00EC379B" w:rsidRDefault="00F10918" w:rsidP="006D504F">
          <w:pPr>
            <w:pStyle w:val="Footer"/>
            <w:rPr>
              <w:rStyle w:val="PageNumber"/>
            </w:rPr>
          </w:pPr>
        </w:p>
        <w:p w:rsidR="00EC379B" w:rsidRDefault="00F109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6B1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1091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1091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1091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0918">
      <w:r>
        <w:separator/>
      </w:r>
    </w:p>
  </w:footnote>
  <w:footnote w:type="continuationSeparator" w:id="0">
    <w:p w:rsidR="00000000" w:rsidRDefault="00F10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1A"/>
    <w:rsid w:val="00986B1A"/>
    <w:rsid w:val="00F1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300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0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00B8"/>
  </w:style>
  <w:style w:type="paragraph" w:styleId="CommentSubject">
    <w:name w:val="annotation subject"/>
    <w:basedOn w:val="CommentText"/>
    <w:next w:val="CommentText"/>
    <w:link w:val="CommentSubjectChar"/>
    <w:rsid w:val="00F30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00B8"/>
    <w:rPr>
      <w:b/>
      <w:bCs/>
    </w:rPr>
  </w:style>
  <w:style w:type="paragraph" w:styleId="Revision">
    <w:name w:val="Revision"/>
    <w:hidden/>
    <w:uiPriority w:val="99"/>
    <w:semiHidden/>
    <w:rsid w:val="005E40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300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0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00B8"/>
  </w:style>
  <w:style w:type="paragraph" w:styleId="CommentSubject">
    <w:name w:val="annotation subject"/>
    <w:basedOn w:val="CommentText"/>
    <w:next w:val="CommentText"/>
    <w:link w:val="CommentSubjectChar"/>
    <w:rsid w:val="00F30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00B8"/>
    <w:rPr>
      <w:b/>
      <w:bCs/>
    </w:rPr>
  </w:style>
  <w:style w:type="paragraph" w:styleId="Revision">
    <w:name w:val="Revision"/>
    <w:hidden/>
    <w:uiPriority w:val="99"/>
    <w:semiHidden/>
    <w:rsid w:val="005E4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940</Words>
  <Characters>5007</Characters>
  <Application>Microsoft Office Word</Application>
  <DocSecurity>4</DocSecurity>
  <Lines>151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HB01639 (Committee Report (Substituted))</vt:lpstr>
    </vt:vector>
  </TitlesOfParts>
  <Company>State of Texas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18905</dc:subject>
  <dc:creator>State of Texas</dc:creator>
  <cp:lastModifiedBy>Molly Hoffman-Bricker</cp:lastModifiedBy>
  <cp:revision>2</cp:revision>
  <cp:lastPrinted>2017-03-22T19:35:00Z</cp:lastPrinted>
  <dcterms:created xsi:type="dcterms:W3CDTF">2017-03-31T20:46:00Z</dcterms:created>
  <dcterms:modified xsi:type="dcterms:W3CDTF">2017-03-31T20:46:00Z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17.81.481</vt:lpwstr>
  </property>
</Properties>
</file>