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216B8" w:rsidTr="00345119">
        <w:tc>
          <w:tcPr>
            <w:tcW w:w="9576" w:type="dxa"/>
            <w:noWrap/>
          </w:tcPr>
          <w:p w:rsidR="008423E4" w:rsidRPr="0022177D" w:rsidRDefault="00292FE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92FE8" w:rsidP="008423E4">
      <w:pPr>
        <w:jc w:val="center"/>
      </w:pPr>
    </w:p>
    <w:p w:rsidR="008423E4" w:rsidRPr="00B31F0E" w:rsidRDefault="00292FE8" w:rsidP="008423E4"/>
    <w:p w:rsidR="008423E4" w:rsidRPr="00742794" w:rsidRDefault="00292FE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216B8" w:rsidTr="00345119">
        <w:tc>
          <w:tcPr>
            <w:tcW w:w="9576" w:type="dxa"/>
          </w:tcPr>
          <w:p w:rsidR="008423E4" w:rsidRPr="00861995" w:rsidRDefault="00292FE8" w:rsidP="00345119">
            <w:pPr>
              <w:jc w:val="right"/>
            </w:pPr>
            <w:r>
              <w:t>H.B. 1657</w:t>
            </w:r>
          </w:p>
        </w:tc>
      </w:tr>
      <w:tr w:rsidR="008216B8" w:rsidTr="00345119">
        <w:tc>
          <w:tcPr>
            <w:tcW w:w="9576" w:type="dxa"/>
          </w:tcPr>
          <w:p w:rsidR="008423E4" w:rsidRPr="00861995" w:rsidRDefault="00292FE8" w:rsidP="00366E1C">
            <w:pPr>
              <w:jc w:val="right"/>
            </w:pPr>
            <w:r>
              <w:t xml:space="preserve">By: </w:t>
            </w:r>
            <w:r>
              <w:t>Phelan</w:t>
            </w:r>
          </w:p>
        </w:tc>
      </w:tr>
      <w:tr w:rsidR="008216B8" w:rsidTr="00345119">
        <w:tc>
          <w:tcPr>
            <w:tcW w:w="9576" w:type="dxa"/>
          </w:tcPr>
          <w:p w:rsidR="008423E4" w:rsidRPr="00861995" w:rsidRDefault="00292FE8" w:rsidP="00345119">
            <w:pPr>
              <w:jc w:val="right"/>
            </w:pPr>
            <w:r>
              <w:t>Licensing &amp; Administrative Procedures</w:t>
            </w:r>
          </w:p>
        </w:tc>
      </w:tr>
      <w:tr w:rsidR="008216B8" w:rsidTr="00345119">
        <w:tc>
          <w:tcPr>
            <w:tcW w:w="9576" w:type="dxa"/>
          </w:tcPr>
          <w:p w:rsidR="008423E4" w:rsidRDefault="00292FE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92FE8" w:rsidP="008423E4">
      <w:pPr>
        <w:tabs>
          <w:tab w:val="right" w:pos="9360"/>
        </w:tabs>
      </w:pPr>
    </w:p>
    <w:p w:rsidR="008423E4" w:rsidRDefault="00292FE8" w:rsidP="008423E4"/>
    <w:p w:rsidR="008423E4" w:rsidRDefault="00292FE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216B8" w:rsidTr="00345119">
        <w:tc>
          <w:tcPr>
            <w:tcW w:w="9576" w:type="dxa"/>
          </w:tcPr>
          <w:p w:rsidR="008423E4" w:rsidRPr="00A8133F" w:rsidRDefault="00292FE8" w:rsidP="009E785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92FE8" w:rsidP="009E7855"/>
          <w:p w:rsidR="008423E4" w:rsidRDefault="00292FE8" w:rsidP="009E78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when the state l</w:t>
            </w:r>
            <w:r>
              <w:t xml:space="preserve">egislature </w:t>
            </w:r>
            <w:r>
              <w:t>began regulating</w:t>
            </w:r>
            <w:r>
              <w:t xml:space="preserve"> interior</w:t>
            </w:r>
            <w:r>
              <w:t xml:space="preserve"> design</w:t>
            </w:r>
            <w:r>
              <w:t xml:space="preserve">, certain </w:t>
            </w:r>
            <w:r>
              <w:t>person</w:t>
            </w:r>
            <w:r>
              <w:t>s</w:t>
            </w:r>
            <w:r>
              <w:t xml:space="preserve"> who had been practicing interior design </w:t>
            </w:r>
            <w:r>
              <w:t>were exempted from the</w:t>
            </w:r>
            <w:r>
              <w:t xml:space="preserve"> </w:t>
            </w:r>
            <w:r>
              <w:t xml:space="preserve">state's examination </w:t>
            </w:r>
            <w:r>
              <w:t>requirements.</w:t>
            </w:r>
            <w:r>
              <w:t xml:space="preserve"> </w:t>
            </w:r>
            <w:r>
              <w:t xml:space="preserve">Concerns have been raised </w:t>
            </w:r>
            <w:r>
              <w:t>regarding</w:t>
            </w:r>
            <w:r>
              <w:t xml:space="preserve"> the </w:t>
            </w:r>
            <w:r>
              <w:t xml:space="preserve">recent </w:t>
            </w:r>
            <w:r>
              <w:t xml:space="preserve">legislation that </w:t>
            </w:r>
            <w:r>
              <w:t xml:space="preserve">eliminated the ability for </w:t>
            </w:r>
            <w:r>
              <w:t xml:space="preserve">those </w:t>
            </w:r>
            <w:r>
              <w:t xml:space="preserve">designers to renew their registration unless they passed the </w:t>
            </w:r>
            <w:r>
              <w:t>interior design exam</w:t>
            </w:r>
            <w:r>
              <w:t xml:space="preserve"> adopted by the </w:t>
            </w:r>
            <w:r>
              <w:t xml:space="preserve">Texas </w:t>
            </w:r>
            <w:r>
              <w:t>Board of Architectural Examiners</w:t>
            </w:r>
            <w:r>
              <w:t xml:space="preserve">. </w:t>
            </w:r>
            <w:r>
              <w:t>In light of the fact that many</w:t>
            </w:r>
            <w:r>
              <w:t xml:space="preserve"> of these designers are sole practitioners or small business owners who have been practicing</w:t>
            </w:r>
            <w:r>
              <w:t xml:space="preserve"> for decades,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1657 </w:t>
            </w:r>
            <w:r>
              <w:t>seeks to provide these</w:t>
            </w:r>
            <w:r>
              <w:t xml:space="preserve"> designers </w:t>
            </w:r>
            <w:r>
              <w:t>a</w:t>
            </w:r>
            <w:r>
              <w:t xml:space="preserve">n additional ten years </w:t>
            </w:r>
            <w:r>
              <w:t xml:space="preserve">to continue to renew their registration </w:t>
            </w:r>
            <w:r>
              <w:t>without complying with the examination requirement.</w:t>
            </w:r>
          </w:p>
          <w:p w:rsidR="008423E4" w:rsidRPr="00E26B13" w:rsidRDefault="00292FE8" w:rsidP="009E7855">
            <w:pPr>
              <w:rPr>
                <w:b/>
              </w:rPr>
            </w:pPr>
          </w:p>
        </w:tc>
      </w:tr>
      <w:tr w:rsidR="008216B8" w:rsidTr="00345119">
        <w:tc>
          <w:tcPr>
            <w:tcW w:w="9576" w:type="dxa"/>
          </w:tcPr>
          <w:p w:rsidR="0017725B" w:rsidRDefault="00292FE8" w:rsidP="009E78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92FE8" w:rsidP="009E7855">
            <w:pPr>
              <w:rPr>
                <w:b/>
                <w:u w:val="single"/>
              </w:rPr>
            </w:pPr>
          </w:p>
          <w:p w:rsidR="002638EC" w:rsidRPr="002638EC" w:rsidRDefault="00292FE8" w:rsidP="009E7855">
            <w:pPr>
              <w:jc w:val="both"/>
            </w:pPr>
            <w:r>
              <w:t>It is the committee's opinion that this bill does not expressly create a criminal offense, increase the punishment</w:t>
            </w:r>
            <w:r>
              <w:t xml:space="preserve"> for an existing criminal offense or category of offenses, or change the eligibility of a person for community supervision, parole, or mandatory supervision.</w:t>
            </w:r>
          </w:p>
          <w:p w:rsidR="0017725B" w:rsidRPr="0017725B" w:rsidRDefault="00292FE8" w:rsidP="009E7855">
            <w:pPr>
              <w:rPr>
                <w:b/>
                <w:u w:val="single"/>
              </w:rPr>
            </w:pPr>
          </w:p>
        </w:tc>
      </w:tr>
      <w:tr w:rsidR="008216B8" w:rsidTr="00345119">
        <w:tc>
          <w:tcPr>
            <w:tcW w:w="9576" w:type="dxa"/>
          </w:tcPr>
          <w:p w:rsidR="008423E4" w:rsidRPr="00A8133F" w:rsidRDefault="00292FE8" w:rsidP="009E785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92FE8" w:rsidP="009E7855"/>
          <w:p w:rsidR="002638EC" w:rsidRDefault="00292FE8" w:rsidP="009E78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</w:t>
            </w:r>
            <w:r>
              <w:t xml:space="preserve"> additional rulemaking authority to a state officer, department, agency, or institution.</w:t>
            </w:r>
          </w:p>
          <w:p w:rsidR="008423E4" w:rsidRPr="00E21FDC" w:rsidRDefault="00292FE8" w:rsidP="009E7855">
            <w:pPr>
              <w:rPr>
                <w:b/>
              </w:rPr>
            </w:pPr>
          </w:p>
        </w:tc>
      </w:tr>
      <w:tr w:rsidR="008216B8" w:rsidTr="00345119">
        <w:tc>
          <w:tcPr>
            <w:tcW w:w="9576" w:type="dxa"/>
          </w:tcPr>
          <w:p w:rsidR="008423E4" w:rsidRPr="00A8133F" w:rsidRDefault="00292FE8" w:rsidP="009E785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92FE8" w:rsidP="009E7855"/>
          <w:p w:rsidR="008423E4" w:rsidRDefault="00292FE8" w:rsidP="009E78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1657 amends the Occupations Code to </w:t>
            </w:r>
            <w:r>
              <w:t>postpone</w:t>
            </w:r>
            <w:r>
              <w:t xml:space="preserve"> from September 1, 2017</w:t>
            </w:r>
            <w:r>
              <w:t>,</w:t>
            </w:r>
            <w:r>
              <w:t xml:space="preserve"> to September 1, 2027</w:t>
            </w:r>
            <w:r>
              <w:t>,</w:t>
            </w:r>
            <w:r>
              <w:t xml:space="preserve"> the </w:t>
            </w:r>
            <w:r>
              <w:t>date on</w:t>
            </w:r>
            <w:r>
              <w:t xml:space="preserve"> or after</w:t>
            </w:r>
            <w:r>
              <w:t xml:space="preserve"> which a </w:t>
            </w:r>
            <w:r>
              <w:t xml:space="preserve">person who </w:t>
            </w:r>
            <w:r>
              <w:t>hold</w:t>
            </w:r>
            <w:r>
              <w:t>s</w:t>
            </w:r>
            <w:r>
              <w:t xml:space="preserve"> a certificate of registration </w:t>
            </w:r>
            <w:r>
              <w:t xml:space="preserve">relating </w:t>
            </w:r>
            <w:r>
              <w:t xml:space="preserve">to </w:t>
            </w:r>
            <w:r>
              <w:t xml:space="preserve">interior designers </w:t>
            </w:r>
            <w:r>
              <w:t xml:space="preserve">issued </w:t>
            </w:r>
            <w:r>
              <w:t xml:space="preserve">without </w:t>
            </w:r>
            <w:r>
              <w:t xml:space="preserve">examination </w:t>
            </w:r>
            <w:r>
              <w:t xml:space="preserve">may no longer </w:t>
            </w:r>
            <w:r>
              <w:t xml:space="preserve">renew the certificate unless the person has passed the required registration examination adopted by the </w:t>
            </w:r>
            <w:r w:rsidRPr="008319E5">
              <w:t>Texas Board of Architectural Examiners</w:t>
            </w:r>
            <w:r>
              <w:t>.</w:t>
            </w:r>
            <w:r>
              <w:t xml:space="preserve"> The bill </w:t>
            </w:r>
            <w:r>
              <w:t>postpones</w:t>
            </w:r>
            <w:r>
              <w:t xml:space="preserve"> </w:t>
            </w:r>
            <w:r>
              <w:t xml:space="preserve">the date on which this provision expires </w:t>
            </w:r>
            <w:r>
              <w:t xml:space="preserve">from January 1, 2019, to January 1, 2029. </w:t>
            </w:r>
          </w:p>
          <w:p w:rsidR="008423E4" w:rsidRPr="00835628" w:rsidRDefault="00292FE8" w:rsidP="009E7855">
            <w:pPr>
              <w:rPr>
                <w:b/>
              </w:rPr>
            </w:pPr>
          </w:p>
        </w:tc>
      </w:tr>
      <w:tr w:rsidR="008216B8" w:rsidTr="00345119">
        <w:tc>
          <w:tcPr>
            <w:tcW w:w="9576" w:type="dxa"/>
          </w:tcPr>
          <w:p w:rsidR="008423E4" w:rsidRPr="00A8133F" w:rsidRDefault="00292FE8" w:rsidP="009E785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92FE8" w:rsidP="009E7855"/>
          <w:p w:rsidR="008423E4" w:rsidRPr="003624F2" w:rsidRDefault="00292FE8" w:rsidP="009E78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92FE8" w:rsidP="009E7855">
            <w:pPr>
              <w:rPr>
                <w:b/>
              </w:rPr>
            </w:pPr>
          </w:p>
        </w:tc>
      </w:tr>
    </w:tbl>
    <w:p w:rsidR="008423E4" w:rsidRPr="00BE0E75" w:rsidRDefault="00292FE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92FE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2FE8">
      <w:r>
        <w:separator/>
      </w:r>
    </w:p>
  </w:endnote>
  <w:endnote w:type="continuationSeparator" w:id="0">
    <w:p w:rsidR="00000000" w:rsidRDefault="002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216B8" w:rsidTr="009C1E9A">
      <w:trPr>
        <w:cantSplit/>
      </w:trPr>
      <w:tc>
        <w:tcPr>
          <w:tcW w:w="0" w:type="pct"/>
        </w:tcPr>
        <w:p w:rsidR="00137D90" w:rsidRDefault="00292F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92FE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92FE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92F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92F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16B8" w:rsidTr="009C1E9A">
      <w:trPr>
        <w:cantSplit/>
      </w:trPr>
      <w:tc>
        <w:tcPr>
          <w:tcW w:w="0" w:type="pct"/>
        </w:tcPr>
        <w:p w:rsidR="00EC379B" w:rsidRDefault="00292F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92FE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21826</w:t>
          </w:r>
        </w:p>
      </w:tc>
      <w:tc>
        <w:tcPr>
          <w:tcW w:w="2453" w:type="pct"/>
        </w:tcPr>
        <w:p w:rsidR="00EC379B" w:rsidRDefault="00292F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17.96.226</w:t>
          </w:r>
          <w:r>
            <w:fldChar w:fldCharType="end"/>
          </w:r>
        </w:p>
      </w:tc>
    </w:tr>
    <w:tr w:rsidR="008216B8" w:rsidTr="009C1E9A">
      <w:trPr>
        <w:cantSplit/>
      </w:trPr>
      <w:tc>
        <w:tcPr>
          <w:tcW w:w="0" w:type="pct"/>
        </w:tcPr>
        <w:p w:rsidR="00EC379B" w:rsidRDefault="00292FE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92FE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92FE8" w:rsidP="006D504F">
          <w:pPr>
            <w:pStyle w:val="Footer"/>
            <w:rPr>
              <w:rStyle w:val="PageNumber"/>
            </w:rPr>
          </w:pPr>
        </w:p>
        <w:p w:rsidR="00EC379B" w:rsidRDefault="00292F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16B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92FE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92FE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92FE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2FE8">
      <w:r>
        <w:separator/>
      </w:r>
    </w:p>
  </w:footnote>
  <w:footnote w:type="continuationSeparator" w:id="0">
    <w:p w:rsidR="00000000" w:rsidRDefault="0029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B8"/>
    <w:rsid w:val="00292FE8"/>
    <w:rsid w:val="0082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638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3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8EC"/>
  </w:style>
  <w:style w:type="paragraph" w:styleId="CommentSubject">
    <w:name w:val="annotation subject"/>
    <w:basedOn w:val="CommentText"/>
    <w:next w:val="CommentText"/>
    <w:link w:val="CommentSubjectChar"/>
    <w:rsid w:val="00263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38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638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3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8EC"/>
  </w:style>
  <w:style w:type="paragraph" w:styleId="CommentSubject">
    <w:name w:val="annotation subject"/>
    <w:basedOn w:val="CommentText"/>
    <w:next w:val="CommentText"/>
    <w:link w:val="CommentSubjectChar"/>
    <w:rsid w:val="00263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3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1592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HB01657 (Committee Report (Unamended))</vt:lpstr>
    </vt:vector>
  </TitlesOfParts>
  <Company>State of Texas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21826</dc:subject>
  <dc:creator>State of Texas</dc:creator>
  <dc:description>HB 1657 by Phelan-(H)Licensing &amp; Administrative Procedures</dc:description>
  <cp:lastModifiedBy>Alexander McMillan</cp:lastModifiedBy>
  <cp:revision>2</cp:revision>
  <cp:lastPrinted>2017-04-07T21:55:00Z</cp:lastPrinted>
  <dcterms:created xsi:type="dcterms:W3CDTF">2017-04-17T23:39:00Z</dcterms:created>
  <dcterms:modified xsi:type="dcterms:W3CDTF">2017-04-17T23:39:00Z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17.96.226</vt:lpwstr>
  </property>
</Properties>
</file>