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D5E36" w:rsidTr="00345119">
        <w:tc>
          <w:tcPr>
            <w:tcW w:w="9576" w:type="dxa"/>
            <w:noWrap/>
          </w:tcPr>
          <w:p w:rsidR="008423E4" w:rsidRPr="0022177D" w:rsidRDefault="0026114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61147" w:rsidP="008423E4">
      <w:pPr>
        <w:jc w:val="center"/>
      </w:pPr>
    </w:p>
    <w:p w:rsidR="008423E4" w:rsidRPr="00B31F0E" w:rsidRDefault="00261147" w:rsidP="008423E4"/>
    <w:p w:rsidR="008423E4" w:rsidRPr="00742794" w:rsidRDefault="0026114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D5E36" w:rsidTr="00345119">
        <w:tc>
          <w:tcPr>
            <w:tcW w:w="9576" w:type="dxa"/>
          </w:tcPr>
          <w:p w:rsidR="008423E4" w:rsidRPr="00861995" w:rsidRDefault="00261147" w:rsidP="00345119">
            <w:pPr>
              <w:jc w:val="right"/>
            </w:pPr>
            <w:r>
              <w:t>C.S.H.B. 1708</w:t>
            </w:r>
          </w:p>
        </w:tc>
      </w:tr>
      <w:tr w:rsidR="00ED5E36" w:rsidTr="00345119">
        <w:tc>
          <w:tcPr>
            <w:tcW w:w="9576" w:type="dxa"/>
          </w:tcPr>
          <w:p w:rsidR="008423E4" w:rsidRPr="00861995" w:rsidRDefault="00261147" w:rsidP="00450E74">
            <w:pPr>
              <w:jc w:val="right"/>
            </w:pPr>
            <w:r>
              <w:t xml:space="preserve">By: </w:t>
            </w:r>
            <w:r>
              <w:t>Miller</w:t>
            </w:r>
          </w:p>
        </w:tc>
      </w:tr>
      <w:tr w:rsidR="00ED5E36" w:rsidTr="00345119">
        <w:tc>
          <w:tcPr>
            <w:tcW w:w="9576" w:type="dxa"/>
          </w:tcPr>
          <w:p w:rsidR="008423E4" w:rsidRPr="00861995" w:rsidRDefault="00261147" w:rsidP="00345119">
            <w:pPr>
              <w:jc w:val="right"/>
            </w:pPr>
            <w:r>
              <w:t>Licensing &amp; Administrative Procedures</w:t>
            </w:r>
          </w:p>
        </w:tc>
      </w:tr>
      <w:tr w:rsidR="00ED5E36" w:rsidTr="00345119">
        <w:tc>
          <w:tcPr>
            <w:tcW w:w="9576" w:type="dxa"/>
          </w:tcPr>
          <w:p w:rsidR="008423E4" w:rsidRDefault="0026114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61147" w:rsidP="008423E4">
      <w:pPr>
        <w:tabs>
          <w:tab w:val="right" w:pos="9360"/>
        </w:tabs>
      </w:pPr>
    </w:p>
    <w:p w:rsidR="008423E4" w:rsidRDefault="00261147" w:rsidP="008423E4"/>
    <w:p w:rsidR="008423E4" w:rsidRDefault="0026114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ED5E36" w:rsidTr="005B69DF">
        <w:tc>
          <w:tcPr>
            <w:tcW w:w="9582" w:type="dxa"/>
          </w:tcPr>
          <w:p w:rsidR="008423E4" w:rsidRPr="00A8133F" w:rsidRDefault="00261147" w:rsidP="00677B8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61147" w:rsidP="00677B87"/>
          <w:p w:rsidR="00402F9F" w:rsidRDefault="00261147" w:rsidP="00677B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</w:t>
            </w:r>
            <w:r>
              <w:t xml:space="preserve"> charitable bingo has declined in Texas </w:t>
            </w:r>
            <w:r>
              <w:t xml:space="preserve">over time </w:t>
            </w:r>
            <w:r>
              <w:t xml:space="preserve">due to competition from other </w:t>
            </w:r>
            <w:r>
              <w:t xml:space="preserve">gambling-related </w:t>
            </w:r>
            <w:r>
              <w:t xml:space="preserve">activities. </w:t>
            </w:r>
            <w:r>
              <w:t>C.S.</w:t>
            </w:r>
            <w:r>
              <w:t>H.B. 1708 seeks to</w:t>
            </w:r>
            <w:r>
              <w:t xml:space="preserve"> allow charities to become more competitive </w:t>
            </w:r>
            <w:r>
              <w:t xml:space="preserve">by providing for </w:t>
            </w:r>
            <w:r w:rsidRPr="00BA0978">
              <w:t>carryover pull-tab bingo game</w:t>
            </w:r>
            <w:r>
              <w:t xml:space="preserve">s as </w:t>
            </w:r>
            <w:r w:rsidRPr="00FC5D53">
              <w:t>a form of pull-tab bi</w:t>
            </w:r>
            <w:r>
              <w:t xml:space="preserve">ngo. </w:t>
            </w:r>
          </w:p>
          <w:p w:rsidR="008423E4" w:rsidRPr="00E26B13" w:rsidRDefault="00261147" w:rsidP="00677B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D5E36" w:rsidTr="005B69DF">
        <w:tc>
          <w:tcPr>
            <w:tcW w:w="9582" w:type="dxa"/>
          </w:tcPr>
          <w:p w:rsidR="0017725B" w:rsidRDefault="00261147" w:rsidP="00677B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61147" w:rsidP="00677B87">
            <w:pPr>
              <w:rPr>
                <w:b/>
                <w:u w:val="single"/>
              </w:rPr>
            </w:pPr>
          </w:p>
          <w:p w:rsidR="00FC5D53" w:rsidRPr="00FC5D53" w:rsidRDefault="00261147" w:rsidP="00677B87">
            <w:pPr>
              <w:jc w:val="both"/>
            </w:pPr>
            <w:r>
              <w:t>It is the committee's opinion that this bill does not ex</w:t>
            </w:r>
            <w:r>
              <w:t>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61147" w:rsidP="00677B87">
            <w:pPr>
              <w:rPr>
                <w:b/>
                <w:u w:val="single"/>
              </w:rPr>
            </w:pPr>
          </w:p>
        </w:tc>
      </w:tr>
      <w:tr w:rsidR="00ED5E36" w:rsidTr="005B69DF">
        <w:tc>
          <w:tcPr>
            <w:tcW w:w="9582" w:type="dxa"/>
          </w:tcPr>
          <w:p w:rsidR="008423E4" w:rsidRPr="00A8133F" w:rsidRDefault="00261147" w:rsidP="00677B8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61147" w:rsidP="00677B87"/>
          <w:p w:rsidR="00FC5D53" w:rsidRDefault="00261147" w:rsidP="00677B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</w:t>
            </w:r>
            <w:r>
              <w:t>ttee's opinion that this bill does not expressly grant any additional rulemaking authority to a state officer, department, agency, or institution.</w:t>
            </w:r>
          </w:p>
          <w:p w:rsidR="008423E4" w:rsidRPr="00E21FDC" w:rsidRDefault="00261147" w:rsidP="00677B87">
            <w:pPr>
              <w:rPr>
                <w:b/>
              </w:rPr>
            </w:pPr>
          </w:p>
        </w:tc>
      </w:tr>
      <w:tr w:rsidR="00ED5E36" w:rsidTr="005B69DF">
        <w:tc>
          <w:tcPr>
            <w:tcW w:w="9582" w:type="dxa"/>
          </w:tcPr>
          <w:p w:rsidR="008423E4" w:rsidRPr="00A8133F" w:rsidRDefault="00261147" w:rsidP="00677B8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61147" w:rsidP="00677B87"/>
          <w:p w:rsidR="008423E4" w:rsidRDefault="00261147" w:rsidP="00677B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1708 amends the Occupations Code to exempt a jackpot </w:t>
            </w:r>
            <w:r w:rsidRPr="00BA0978">
              <w:t>prize awarded in a carryover pull</w:t>
            </w:r>
            <w:r>
              <w:noBreakHyphen/>
            </w:r>
            <w:r w:rsidRPr="00BA0978">
              <w:t>tab bingo game</w:t>
            </w:r>
            <w:r>
              <w:t xml:space="preserve"> from the prohibition </w:t>
            </w:r>
            <w:r>
              <w:t>against</w:t>
            </w:r>
            <w:r>
              <w:t xml:space="preserve"> a bingo prize </w:t>
            </w:r>
            <w:r w:rsidRPr="00BA0978">
              <w:t>hav</w:t>
            </w:r>
            <w:r>
              <w:t>ing</w:t>
            </w:r>
            <w:r w:rsidRPr="00BA0978">
              <w:t xml:space="preserve"> a value of more than $750 for a single game</w:t>
            </w:r>
            <w:r>
              <w:t xml:space="preserve"> and </w:t>
            </w:r>
            <w:r>
              <w:t xml:space="preserve">to </w:t>
            </w:r>
            <w:r>
              <w:t xml:space="preserve">cap the </w:t>
            </w:r>
            <w:r w:rsidRPr="003856D7">
              <w:t>value</w:t>
            </w:r>
            <w:r>
              <w:t xml:space="preserve"> of a </w:t>
            </w:r>
            <w:r w:rsidRPr="003856D7">
              <w:t>jackpot prize awarded in a carryover pull-tab bingo game</w:t>
            </w:r>
            <w:r>
              <w:t xml:space="preserve"> at $10,000</w:t>
            </w:r>
            <w:r>
              <w:t xml:space="preserve">. The bill </w:t>
            </w:r>
            <w:r>
              <w:t xml:space="preserve">defines </w:t>
            </w:r>
            <w:r>
              <w:t>"</w:t>
            </w:r>
            <w:r w:rsidRPr="00406443">
              <w:t>carryover pull-tab bingo</w:t>
            </w:r>
            <w:r>
              <w:t>"</w:t>
            </w:r>
            <w:r>
              <w:t xml:space="preserve"> as </w:t>
            </w:r>
            <w:r w:rsidRPr="00FC5D53">
              <w:t>a for</w:t>
            </w:r>
            <w:r w:rsidRPr="00FC5D53">
              <w:t>m of pull-tab bi</w:t>
            </w:r>
            <w:r>
              <w:t xml:space="preserve">ngo </w:t>
            </w:r>
            <w:r>
              <w:t xml:space="preserve">that is </w:t>
            </w:r>
            <w:r>
              <w:t xml:space="preserve">played in successive </w:t>
            </w:r>
            <w:r w:rsidRPr="00F92712">
              <w:t>event pull-tab bing</w:t>
            </w:r>
            <w:r>
              <w:t>o deals of the same form number</w:t>
            </w:r>
            <w:r>
              <w:t xml:space="preserve"> and</w:t>
            </w:r>
            <w:r>
              <w:t xml:space="preserve"> </w:t>
            </w:r>
            <w:r w:rsidRPr="00FC5D53">
              <w:t xml:space="preserve">in which a portion of the bingo prize awarded </w:t>
            </w:r>
            <w:r>
              <w:t xml:space="preserve">to the winner of the event prize for </w:t>
            </w:r>
            <w:r w:rsidRPr="00FC5D53">
              <w:t xml:space="preserve">each </w:t>
            </w:r>
            <w:r>
              <w:t>deal</w:t>
            </w:r>
            <w:r w:rsidRPr="00FC5D53">
              <w:t xml:space="preserve"> is paid into a jackpot prize, the winner of </w:t>
            </w:r>
            <w:r w:rsidRPr="00F92712">
              <w:t>the event prize</w:t>
            </w:r>
            <w:r w:rsidRPr="00F92712">
              <w:t xml:space="preserve"> for each deal</w:t>
            </w:r>
            <w:r>
              <w:t xml:space="preserve"> </w:t>
            </w:r>
            <w:r w:rsidRPr="00FC5D53">
              <w:t>has the opportunity to win the jackpot prize, and the play continues until the jackpot prize is awarded</w:t>
            </w:r>
            <w:r>
              <w:t>. The bill specifies that</w:t>
            </w:r>
            <w:r>
              <w:t xml:space="preserve"> </w:t>
            </w:r>
            <w:r>
              <w:t xml:space="preserve">carryover </w:t>
            </w:r>
            <w:r>
              <w:br/>
            </w:r>
            <w:r>
              <w:t xml:space="preserve">pull-tab bingo is included in </w:t>
            </w:r>
            <w:r>
              <w:t>the exempt</w:t>
            </w:r>
            <w:r>
              <w:t>ion for pull-tab bingo</w:t>
            </w:r>
            <w:r>
              <w:t xml:space="preserve"> from the prohibition </w:t>
            </w:r>
            <w:r>
              <w:t>against</w:t>
            </w:r>
            <w:r>
              <w:t xml:space="preserve"> a</w:t>
            </w:r>
            <w:r w:rsidRPr="00406443">
              <w:t xml:space="preserve"> person </w:t>
            </w:r>
            <w:r w:rsidRPr="00406443">
              <w:t>offer</w:t>
            </w:r>
            <w:r>
              <w:t>ing</w:t>
            </w:r>
            <w:r w:rsidRPr="00406443">
              <w:t xml:space="preserve"> or award</w:t>
            </w:r>
            <w:r>
              <w:t>ing</w:t>
            </w:r>
            <w:r w:rsidRPr="00406443">
              <w:t xml:space="preserve"> on a single bingo occasion prizes with an aggregate value of more than $2,500</w:t>
            </w:r>
            <w:r>
              <w:t xml:space="preserve">. </w:t>
            </w:r>
          </w:p>
          <w:p w:rsidR="008423E4" w:rsidRPr="00835628" w:rsidRDefault="00261147" w:rsidP="00677B87">
            <w:pPr>
              <w:rPr>
                <w:b/>
              </w:rPr>
            </w:pPr>
          </w:p>
        </w:tc>
      </w:tr>
      <w:tr w:rsidR="00ED5E36" w:rsidTr="005B69DF">
        <w:tc>
          <w:tcPr>
            <w:tcW w:w="9582" w:type="dxa"/>
          </w:tcPr>
          <w:p w:rsidR="008423E4" w:rsidRPr="00A8133F" w:rsidRDefault="00261147" w:rsidP="00677B8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61147" w:rsidP="00677B87"/>
          <w:p w:rsidR="008423E4" w:rsidRPr="003624F2" w:rsidRDefault="00261147" w:rsidP="00677B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261147" w:rsidP="00677B87">
            <w:pPr>
              <w:rPr>
                <w:b/>
              </w:rPr>
            </w:pPr>
          </w:p>
        </w:tc>
      </w:tr>
      <w:tr w:rsidR="00ED5E36" w:rsidTr="005B69DF">
        <w:tc>
          <w:tcPr>
            <w:tcW w:w="9582" w:type="dxa"/>
          </w:tcPr>
          <w:p w:rsidR="00450E74" w:rsidRDefault="00261147" w:rsidP="00677B8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92712" w:rsidRDefault="00261147" w:rsidP="00677B87">
            <w:pPr>
              <w:jc w:val="both"/>
              <w:rPr>
                <w:b/>
                <w:u w:val="single"/>
              </w:rPr>
            </w:pPr>
          </w:p>
          <w:p w:rsidR="00333B2B" w:rsidRDefault="00261147" w:rsidP="00677B87">
            <w:pPr>
              <w:jc w:val="both"/>
            </w:pPr>
            <w:r>
              <w:t xml:space="preserve">While </w:t>
            </w:r>
            <w:r>
              <w:t>C.S.H.B. 1708 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333B2B" w:rsidRDefault="00261147" w:rsidP="00677B87">
            <w:pPr>
              <w:jc w:val="both"/>
            </w:pPr>
          </w:p>
          <w:p w:rsidR="00333B2B" w:rsidRPr="00333B2B" w:rsidRDefault="00261147" w:rsidP="00677B87">
            <w:pPr>
              <w:jc w:val="both"/>
            </w:pPr>
          </w:p>
          <w:p w:rsidR="00333B2B" w:rsidRPr="00450E74" w:rsidRDefault="00261147" w:rsidP="00677B87">
            <w:pPr>
              <w:jc w:val="both"/>
              <w:rPr>
                <w:b/>
                <w:u w:val="single"/>
              </w:rPr>
            </w:pPr>
          </w:p>
        </w:tc>
      </w:tr>
      <w:tr w:rsidR="00ED5E36" w:rsidTr="005B69DF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7"/>
              <w:gridCol w:w="4659"/>
            </w:tblGrid>
            <w:tr w:rsidR="00ED5E36" w:rsidTr="005B69DF">
              <w:trPr>
                <w:cantSplit/>
                <w:tblHeader/>
              </w:trPr>
              <w:tc>
                <w:tcPr>
                  <w:tcW w:w="4687" w:type="dxa"/>
                  <w:tcMar>
                    <w:bottom w:w="188" w:type="dxa"/>
                  </w:tcMar>
                </w:tcPr>
                <w:p w:rsidR="005B69DF" w:rsidRDefault="00261147" w:rsidP="00677B87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59" w:type="dxa"/>
                  <w:tcMar>
                    <w:bottom w:w="188" w:type="dxa"/>
                  </w:tcMar>
                </w:tcPr>
                <w:p w:rsidR="005B69DF" w:rsidRDefault="00261147" w:rsidP="00677B87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ED5E36" w:rsidTr="005B69DF">
              <w:tc>
                <w:tcPr>
                  <w:tcW w:w="4687" w:type="dxa"/>
                  <w:tcMar>
                    <w:right w:w="360" w:type="dxa"/>
                  </w:tcMar>
                </w:tcPr>
                <w:p w:rsidR="005B69DF" w:rsidRDefault="00261147" w:rsidP="00677B87">
                  <w:pPr>
                    <w:jc w:val="both"/>
                  </w:pPr>
                  <w:r>
                    <w:t>SECTION 1.  Section 2001.002, Occupations Code, is amended by adding Subdivision (6-a) to read as follows:</w:t>
                  </w:r>
                </w:p>
                <w:p w:rsidR="005B69DF" w:rsidRDefault="00261147" w:rsidP="00677B87">
                  <w:pPr>
                    <w:jc w:val="both"/>
                  </w:pPr>
                  <w:r>
                    <w:rPr>
                      <w:u w:val="single"/>
                    </w:rPr>
                    <w:t xml:space="preserve">(6-a) "Carryover pull-tab bingo" means a form of pull-tab bingo played in successive </w:t>
                  </w:r>
                  <w:r w:rsidRPr="008073EE">
                    <w:rPr>
                      <w:highlight w:val="lightGray"/>
                      <w:u w:val="single"/>
                    </w:rPr>
                    <w:t>round</w:t>
                  </w:r>
                  <w:r w:rsidRPr="00450E74">
                    <w:rPr>
                      <w:highlight w:val="lightGray"/>
                      <w:u w:val="single"/>
                    </w:rPr>
                    <w:t>s</w:t>
                  </w:r>
                  <w:r w:rsidRPr="00450E74">
                    <w:rPr>
                      <w:u w:val="single"/>
                    </w:rPr>
                    <w:t>,</w:t>
                  </w:r>
                  <w:r>
                    <w:rPr>
                      <w:u w:val="single"/>
                    </w:rPr>
                    <w:t xml:space="preserve"> in which a portion of the bingo prize awarded </w:t>
                  </w:r>
                  <w:r w:rsidRPr="004B132F">
                    <w:rPr>
                      <w:highlight w:val="lightGray"/>
                      <w:u w:val="single"/>
                    </w:rPr>
                    <w:t>each round</w:t>
                  </w:r>
                  <w:r>
                    <w:rPr>
                      <w:u w:val="single"/>
                    </w:rPr>
                    <w:t xml:space="preserve"> is paid into a jackpot prize, the winner of </w:t>
                  </w:r>
                  <w:r w:rsidRPr="004B132F">
                    <w:rPr>
                      <w:highlight w:val="lightGray"/>
                      <w:u w:val="single"/>
                    </w:rPr>
                    <w:t>each round</w:t>
                  </w:r>
                  <w:r>
                    <w:rPr>
                      <w:u w:val="single"/>
                    </w:rPr>
                    <w:t xml:space="preserve"> has the opportunity to win the jackpot prize, and the play continues until the jackpot prize is awarded.</w:t>
                  </w:r>
                </w:p>
                <w:p w:rsidR="005B69DF" w:rsidRDefault="00261147" w:rsidP="00677B87">
                  <w:pPr>
                    <w:jc w:val="both"/>
                  </w:pPr>
                </w:p>
              </w:tc>
              <w:tc>
                <w:tcPr>
                  <w:tcW w:w="4659" w:type="dxa"/>
                  <w:tcMar>
                    <w:left w:w="360" w:type="dxa"/>
                  </w:tcMar>
                </w:tcPr>
                <w:p w:rsidR="005B69DF" w:rsidRDefault="00261147" w:rsidP="00677B87">
                  <w:pPr>
                    <w:jc w:val="both"/>
                  </w:pPr>
                  <w:r>
                    <w:t>SECTION 1.  Section 2001.002, Occupat</w:t>
                  </w:r>
                  <w:r>
                    <w:t>ions Code, is amended by adding Subdivision (6-a) to read as follows:</w:t>
                  </w:r>
                </w:p>
                <w:p w:rsidR="005B69DF" w:rsidRDefault="00261147" w:rsidP="00677B87">
                  <w:pPr>
                    <w:jc w:val="both"/>
                  </w:pPr>
                  <w:r>
                    <w:rPr>
                      <w:u w:val="single"/>
                    </w:rPr>
                    <w:t xml:space="preserve">(6-a) "Carryover pull-tab bingo" means a form of pull-tab bingo </w:t>
                  </w:r>
                  <w:r w:rsidRPr="000E0020">
                    <w:rPr>
                      <w:u w:val="single"/>
                    </w:rPr>
                    <w:t>that is</w:t>
                  </w:r>
                  <w:r>
                    <w:rPr>
                      <w:u w:val="single"/>
                    </w:rPr>
                    <w:t xml:space="preserve"> played in successive </w:t>
                  </w:r>
                  <w:r w:rsidRPr="008073EE">
                    <w:rPr>
                      <w:highlight w:val="lightGray"/>
                      <w:u w:val="single"/>
                    </w:rPr>
                    <w:t>event pull-tab bingo deals of the same form number and</w:t>
                  </w:r>
                  <w:r>
                    <w:rPr>
                      <w:u w:val="single"/>
                    </w:rPr>
                    <w:t xml:space="preserve"> in which a portion of the bingo prize </w:t>
                  </w:r>
                  <w:r>
                    <w:rPr>
                      <w:u w:val="single"/>
                    </w:rPr>
                    <w:t xml:space="preserve">awarded </w:t>
                  </w:r>
                  <w:r w:rsidRPr="004B132F">
                    <w:rPr>
                      <w:highlight w:val="lightGray"/>
                      <w:u w:val="single"/>
                    </w:rPr>
                    <w:t>to the winner of the event prize for each deal</w:t>
                  </w:r>
                  <w:r>
                    <w:rPr>
                      <w:u w:val="single"/>
                    </w:rPr>
                    <w:t xml:space="preserve"> is paid into a jackpot prize, the winner of </w:t>
                  </w:r>
                  <w:r w:rsidRPr="00450E74">
                    <w:rPr>
                      <w:highlight w:val="lightGray"/>
                      <w:u w:val="single"/>
                    </w:rPr>
                    <w:t>the e</w:t>
                  </w:r>
                  <w:r w:rsidRPr="000E0020">
                    <w:rPr>
                      <w:highlight w:val="lightGray"/>
                      <w:u w:val="single"/>
                    </w:rPr>
                    <w:t>vent prize for each deal</w:t>
                  </w:r>
                  <w:r>
                    <w:rPr>
                      <w:u w:val="single"/>
                    </w:rPr>
                    <w:t xml:space="preserve"> has the opportunity to win the jackpot prize, and the play continues until the jackpot prize is awarded.</w:t>
                  </w:r>
                </w:p>
                <w:p w:rsidR="005B69DF" w:rsidRDefault="00261147" w:rsidP="00677B87">
                  <w:pPr>
                    <w:jc w:val="both"/>
                  </w:pPr>
                </w:p>
              </w:tc>
            </w:tr>
            <w:tr w:rsidR="00ED5E36" w:rsidTr="005B69DF">
              <w:tc>
                <w:tcPr>
                  <w:tcW w:w="4687" w:type="dxa"/>
                  <w:tcMar>
                    <w:right w:w="360" w:type="dxa"/>
                  </w:tcMar>
                </w:tcPr>
                <w:p w:rsidR="005B69DF" w:rsidRDefault="00261147" w:rsidP="00677B87">
                  <w:pPr>
                    <w:jc w:val="both"/>
                  </w:pPr>
                  <w:r>
                    <w:t xml:space="preserve">SECTION 2.  Section </w:t>
                  </w:r>
                  <w:r>
                    <w:t>2001.420, Occupations Code, is amended</w:t>
                  </w:r>
                  <w:r>
                    <w:t>.</w:t>
                  </w:r>
                </w:p>
              </w:tc>
              <w:tc>
                <w:tcPr>
                  <w:tcW w:w="4659" w:type="dxa"/>
                  <w:tcMar>
                    <w:left w:w="360" w:type="dxa"/>
                  </w:tcMar>
                </w:tcPr>
                <w:p w:rsidR="005B69DF" w:rsidRDefault="00261147" w:rsidP="00677B87">
                  <w:pPr>
                    <w:jc w:val="both"/>
                  </w:pPr>
                  <w:r>
                    <w:t>SECTION 2. Same as introduced version.</w:t>
                  </w:r>
                </w:p>
                <w:p w:rsidR="005B69DF" w:rsidRDefault="00261147" w:rsidP="00677B87">
                  <w:pPr>
                    <w:jc w:val="both"/>
                  </w:pPr>
                </w:p>
                <w:p w:rsidR="005B69DF" w:rsidRDefault="00261147" w:rsidP="00677B87">
                  <w:pPr>
                    <w:jc w:val="both"/>
                  </w:pPr>
                </w:p>
              </w:tc>
            </w:tr>
            <w:tr w:rsidR="00ED5E36" w:rsidTr="005B69DF">
              <w:tc>
                <w:tcPr>
                  <w:tcW w:w="4687" w:type="dxa"/>
                  <w:tcMar>
                    <w:right w:w="360" w:type="dxa"/>
                  </w:tcMar>
                </w:tcPr>
                <w:p w:rsidR="005B69DF" w:rsidRDefault="00261147" w:rsidP="00677B87">
                  <w:pPr>
                    <w:jc w:val="both"/>
                  </w:pPr>
                  <w:r>
                    <w:t xml:space="preserve">SECTION 3.  This Act takes effect immediately if it receives a vote of two-thirds of all the members elected to each house, as provided by Section 39, Article III, Texas </w:t>
                  </w:r>
                  <w:r>
                    <w:t>Constitution.  If this Act does not receive the vote necessary for immediate effect, this Act takes effect September 1, 2017.</w:t>
                  </w:r>
                </w:p>
                <w:p w:rsidR="005B69DF" w:rsidRDefault="00261147" w:rsidP="00677B87">
                  <w:pPr>
                    <w:jc w:val="both"/>
                  </w:pPr>
                </w:p>
              </w:tc>
              <w:tc>
                <w:tcPr>
                  <w:tcW w:w="4659" w:type="dxa"/>
                  <w:tcMar>
                    <w:left w:w="360" w:type="dxa"/>
                  </w:tcMar>
                </w:tcPr>
                <w:p w:rsidR="005B69DF" w:rsidRDefault="00261147" w:rsidP="00677B87">
                  <w:pPr>
                    <w:jc w:val="both"/>
                  </w:pPr>
                  <w:r>
                    <w:t>SECTION 3. Same as introduced version.</w:t>
                  </w:r>
                </w:p>
                <w:p w:rsidR="005B69DF" w:rsidRDefault="00261147" w:rsidP="00677B87">
                  <w:pPr>
                    <w:jc w:val="both"/>
                  </w:pPr>
                </w:p>
                <w:p w:rsidR="005B69DF" w:rsidRDefault="00261147" w:rsidP="00677B87">
                  <w:pPr>
                    <w:jc w:val="both"/>
                  </w:pPr>
                </w:p>
              </w:tc>
            </w:tr>
          </w:tbl>
          <w:p w:rsidR="005B69DF" w:rsidRDefault="00261147" w:rsidP="00677B87"/>
          <w:p w:rsidR="005B69DF" w:rsidRPr="009C1E9A" w:rsidRDefault="00261147" w:rsidP="00677B87">
            <w:pPr>
              <w:rPr>
                <w:b/>
                <w:u w:val="single"/>
              </w:rPr>
            </w:pPr>
          </w:p>
        </w:tc>
      </w:tr>
      <w:tr w:rsidR="00ED5E36" w:rsidTr="005B69DF">
        <w:tc>
          <w:tcPr>
            <w:tcW w:w="9582" w:type="dxa"/>
          </w:tcPr>
          <w:p w:rsidR="00450E74" w:rsidRPr="00450E74" w:rsidRDefault="00261147" w:rsidP="00677B87">
            <w:pPr>
              <w:jc w:val="both"/>
            </w:pPr>
          </w:p>
        </w:tc>
      </w:tr>
      <w:tr w:rsidR="00ED5E36" w:rsidTr="005B69DF">
        <w:tc>
          <w:tcPr>
            <w:tcW w:w="9582" w:type="dxa"/>
          </w:tcPr>
          <w:p w:rsidR="00450E74" w:rsidRDefault="00261147" w:rsidP="00677B87">
            <w:pPr>
              <w:jc w:val="center"/>
            </w:pPr>
          </w:p>
        </w:tc>
      </w:tr>
      <w:tr w:rsidR="00ED5E36" w:rsidTr="005B69DF">
        <w:tc>
          <w:tcPr>
            <w:tcW w:w="9582" w:type="dxa"/>
          </w:tcPr>
          <w:p w:rsidR="00450E74" w:rsidRDefault="00261147" w:rsidP="00677B87">
            <w:pPr>
              <w:jc w:val="center"/>
            </w:pPr>
          </w:p>
        </w:tc>
      </w:tr>
    </w:tbl>
    <w:p w:rsidR="008423E4" w:rsidRPr="00BE0E75" w:rsidRDefault="0026114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6114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1147">
      <w:r>
        <w:separator/>
      </w:r>
    </w:p>
  </w:endnote>
  <w:endnote w:type="continuationSeparator" w:id="0">
    <w:p w:rsidR="00000000" w:rsidRDefault="0026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611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D5E36" w:rsidTr="009C1E9A">
      <w:trPr>
        <w:cantSplit/>
      </w:trPr>
      <w:tc>
        <w:tcPr>
          <w:tcW w:w="0" w:type="pct"/>
        </w:tcPr>
        <w:p w:rsidR="00137D90" w:rsidRDefault="002611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6114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6114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611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611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5E36" w:rsidTr="009C1E9A">
      <w:trPr>
        <w:cantSplit/>
      </w:trPr>
      <w:tc>
        <w:tcPr>
          <w:tcW w:w="0" w:type="pct"/>
        </w:tcPr>
        <w:p w:rsidR="00EC379B" w:rsidRDefault="002611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6114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23033</w:t>
          </w:r>
        </w:p>
      </w:tc>
      <w:tc>
        <w:tcPr>
          <w:tcW w:w="2453" w:type="pct"/>
        </w:tcPr>
        <w:p w:rsidR="00EC379B" w:rsidRDefault="002611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17.101.558</w:t>
          </w:r>
          <w:r>
            <w:fldChar w:fldCharType="end"/>
          </w:r>
        </w:p>
      </w:tc>
    </w:tr>
    <w:tr w:rsidR="00ED5E36" w:rsidTr="009C1E9A">
      <w:trPr>
        <w:cantSplit/>
      </w:trPr>
      <w:tc>
        <w:tcPr>
          <w:tcW w:w="0" w:type="pct"/>
        </w:tcPr>
        <w:p w:rsidR="00EC379B" w:rsidRDefault="0026114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6114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14609</w:t>
          </w:r>
        </w:p>
      </w:tc>
      <w:tc>
        <w:tcPr>
          <w:tcW w:w="2453" w:type="pct"/>
        </w:tcPr>
        <w:p w:rsidR="00EC379B" w:rsidRDefault="00261147" w:rsidP="006D504F">
          <w:pPr>
            <w:pStyle w:val="Footer"/>
            <w:rPr>
              <w:rStyle w:val="PageNumber"/>
            </w:rPr>
          </w:pPr>
        </w:p>
        <w:p w:rsidR="00EC379B" w:rsidRDefault="002611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5E3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6114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6114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6114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611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1147">
      <w:r>
        <w:separator/>
      </w:r>
    </w:p>
  </w:footnote>
  <w:footnote w:type="continuationSeparator" w:id="0">
    <w:p w:rsidR="00000000" w:rsidRDefault="00261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611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611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611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36"/>
    <w:rsid w:val="00261147"/>
    <w:rsid w:val="00E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856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5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56D7"/>
  </w:style>
  <w:style w:type="paragraph" w:styleId="CommentSubject">
    <w:name w:val="annotation subject"/>
    <w:basedOn w:val="CommentText"/>
    <w:next w:val="CommentText"/>
    <w:link w:val="CommentSubjectChar"/>
    <w:rsid w:val="00385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56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856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5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56D7"/>
  </w:style>
  <w:style w:type="paragraph" w:styleId="CommentSubject">
    <w:name w:val="annotation subject"/>
    <w:basedOn w:val="CommentText"/>
    <w:next w:val="CommentText"/>
    <w:link w:val="CommentSubjectChar"/>
    <w:rsid w:val="00385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5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3075</Characters>
  <Application>Microsoft Office Word</Application>
  <DocSecurity>4</DocSecurity>
  <Lines>106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HB01708 (Committee Report (Substituted))</vt:lpstr>
    </vt:vector>
  </TitlesOfParts>
  <Company>State of Texas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23033</dc:subject>
  <dc:creator>State of Texas</dc:creator>
  <dc:description>HB 1708 by Miller-(H)Licensing &amp; Administrative Procedures (Substitute Document Number: 85R 14609)</dc:description>
  <cp:lastModifiedBy>Molly Hoffman-Bricker</cp:lastModifiedBy>
  <cp:revision>2</cp:revision>
  <cp:lastPrinted>2017-03-29T23:16:00Z</cp:lastPrinted>
  <dcterms:created xsi:type="dcterms:W3CDTF">2017-04-17T20:00:00Z</dcterms:created>
  <dcterms:modified xsi:type="dcterms:W3CDTF">2017-04-17T20:00:00Z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17.101.558</vt:lpwstr>
  </property>
</Properties>
</file>