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1A84" w:rsidTr="00345119">
        <w:tc>
          <w:tcPr>
            <w:tcW w:w="9576" w:type="dxa"/>
            <w:noWrap/>
          </w:tcPr>
          <w:p w:rsidR="008423E4" w:rsidRPr="0022177D" w:rsidRDefault="00F959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5954" w:rsidP="008423E4">
      <w:pPr>
        <w:jc w:val="center"/>
      </w:pPr>
    </w:p>
    <w:p w:rsidR="008423E4" w:rsidRPr="00B31F0E" w:rsidRDefault="00F95954" w:rsidP="008423E4"/>
    <w:p w:rsidR="008423E4" w:rsidRPr="00742794" w:rsidRDefault="00F959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1A84" w:rsidTr="00345119">
        <w:tc>
          <w:tcPr>
            <w:tcW w:w="9576" w:type="dxa"/>
          </w:tcPr>
          <w:p w:rsidR="008423E4" w:rsidRPr="00861995" w:rsidRDefault="00F95954" w:rsidP="00345119">
            <w:pPr>
              <w:jc w:val="right"/>
            </w:pPr>
            <w:r>
              <w:t>H.B. 1727</w:t>
            </w:r>
          </w:p>
        </w:tc>
      </w:tr>
      <w:tr w:rsidR="004F1A84" w:rsidTr="00345119">
        <w:tc>
          <w:tcPr>
            <w:tcW w:w="9576" w:type="dxa"/>
          </w:tcPr>
          <w:p w:rsidR="008423E4" w:rsidRPr="00861995" w:rsidRDefault="00F95954" w:rsidP="002B26CB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4F1A84" w:rsidTr="00345119">
        <w:tc>
          <w:tcPr>
            <w:tcW w:w="9576" w:type="dxa"/>
          </w:tcPr>
          <w:p w:rsidR="008423E4" w:rsidRPr="00861995" w:rsidRDefault="00F95954" w:rsidP="00345119">
            <w:pPr>
              <w:jc w:val="right"/>
            </w:pPr>
            <w:r>
              <w:t>Criminal Jurisprudence</w:t>
            </w:r>
          </w:p>
        </w:tc>
      </w:tr>
      <w:tr w:rsidR="004F1A84" w:rsidTr="00345119">
        <w:tc>
          <w:tcPr>
            <w:tcW w:w="9576" w:type="dxa"/>
          </w:tcPr>
          <w:p w:rsidR="008423E4" w:rsidRDefault="00F959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95954" w:rsidP="008423E4">
      <w:pPr>
        <w:tabs>
          <w:tab w:val="right" w:pos="9360"/>
        </w:tabs>
      </w:pPr>
    </w:p>
    <w:p w:rsidR="008423E4" w:rsidRDefault="00F95954" w:rsidP="008423E4"/>
    <w:p w:rsidR="008423E4" w:rsidRDefault="00F959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1A84" w:rsidTr="00345119">
        <w:tc>
          <w:tcPr>
            <w:tcW w:w="9576" w:type="dxa"/>
          </w:tcPr>
          <w:p w:rsidR="008423E4" w:rsidRPr="00A8133F" w:rsidRDefault="00F95954" w:rsidP="0025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5954" w:rsidP="002548AB"/>
          <w:p w:rsidR="008423E4" w:rsidRDefault="00F95954" w:rsidP="0025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problems</w:t>
            </w:r>
            <w:r w:rsidRPr="002700B4">
              <w:t xml:space="preserve"> </w:t>
            </w:r>
            <w:r>
              <w:t>regarding the issuance of certain search warrants</w:t>
            </w:r>
            <w:r w:rsidRPr="002700B4">
              <w:t xml:space="preserve"> </w:t>
            </w:r>
            <w:r w:rsidRPr="002700B4">
              <w:t>can arise</w:t>
            </w:r>
            <w:r>
              <w:t xml:space="preserve"> </w:t>
            </w:r>
            <w:r w:rsidRPr="002700B4">
              <w:t xml:space="preserve">when the applicable </w:t>
            </w:r>
            <w:r w:rsidRPr="002700B4">
              <w:t xml:space="preserve">municipal court of record for a county is actually located in a different county. H.B. 1727 seeks to </w:t>
            </w:r>
            <w:r>
              <w:t xml:space="preserve">remedy this situation by revising the </w:t>
            </w:r>
            <w:r>
              <w:t>circumstances</w:t>
            </w:r>
            <w:r>
              <w:t xml:space="preserve"> under which such a warrant may be issued</w:t>
            </w:r>
            <w:r>
              <w:t xml:space="preserve"> by any magistrate in the applicable county</w:t>
            </w:r>
            <w:r w:rsidRPr="002700B4">
              <w:t>.</w:t>
            </w:r>
          </w:p>
          <w:p w:rsidR="008423E4" w:rsidRPr="00E26B13" w:rsidRDefault="00F95954" w:rsidP="002548AB">
            <w:pPr>
              <w:rPr>
                <w:b/>
              </w:rPr>
            </w:pPr>
          </w:p>
        </w:tc>
      </w:tr>
      <w:tr w:rsidR="004F1A84" w:rsidTr="00345119">
        <w:tc>
          <w:tcPr>
            <w:tcW w:w="9576" w:type="dxa"/>
          </w:tcPr>
          <w:p w:rsidR="0017725B" w:rsidRDefault="00F95954" w:rsidP="00254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F95954" w:rsidP="002548AB">
            <w:pPr>
              <w:rPr>
                <w:b/>
                <w:u w:val="single"/>
              </w:rPr>
            </w:pPr>
          </w:p>
          <w:p w:rsidR="00ED1799" w:rsidRPr="00ED1799" w:rsidRDefault="00F95954" w:rsidP="002548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F95954" w:rsidP="002548AB">
            <w:pPr>
              <w:rPr>
                <w:b/>
                <w:u w:val="single"/>
              </w:rPr>
            </w:pPr>
          </w:p>
        </w:tc>
      </w:tr>
      <w:tr w:rsidR="004F1A84" w:rsidTr="00345119">
        <w:tc>
          <w:tcPr>
            <w:tcW w:w="9576" w:type="dxa"/>
          </w:tcPr>
          <w:p w:rsidR="008423E4" w:rsidRPr="00A8133F" w:rsidRDefault="00F95954" w:rsidP="0025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5954" w:rsidP="002548AB"/>
          <w:p w:rsidR="00ED1799" w:rsidRDefault="00F95954" w:rsidP="0025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95954" w:rsidP="002548AB">
            <w:pPr>
              <w:rPr>
                <w:b/>
              </w:rPr>
            </w:pPr>
          </w:p>
        </w:tc>
      </w:tr>
      <w:tr w:rsidR="004F1A84" w:rsidTr="00345119">
        <w:tc>
          <w:tcPr>
            <w:tcW w:w="9576" w:type="dxa"/>
          </w:tcPr>
          <w:p w:rsidR="008423E4" w:rsidRPr="00A8133F" w:rsidRDefault="00F95954" w:rsidP="0025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5954" w:rsidP="002548AB"/>
          <w:p w:rsidR="008423E4" w:rsidRDefault="00F95954" w:rsidP="0025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1727 amends the Code of Criminal Procedure </w:t>
            </w:r>
            <w:r>
              <w:t xml:space="preserve">to change one of the circumstances </w:t>
            </w:r>
            <w:r>
              <w:t xml:space="preserve">under which </w:t>
            </w:r>
            <w:r>
              <w:t>any magistrate</w:t>
            </w:r>
            <w:r>
              <w:t xml:space="preserve"> in a county</w:t>
            </w:r>
            <w:r>
              <w:t xml:space="preserve"> </w:t>
            </w:r>
            <w:r>
              <w:t>may</w:t>
            </w:r>
            <w:r>
              <w:t xml:space="preserve"> issue a search warrant </w:t>
            </w:r>
            <w:r>
              <w:t xml:space="preserve">for contraband subject to forfeiture or certain property or </w:t>
            </w:r>
            <w:r w:rsidRPr="00071135">
              <w:t>items constituting evidence of an offense or co</w:t>
            </w:r>
            <w:r w:rsidRPr="00071135">
              <w:t>nstituting evidence tending to show that a particular person committed an offense</w:t>
            </w:r>
            <w:r>
              <w:t xml:space="preserve"> </w:t>
            </w:r>
            <w:r>
              <w:t>from the county not having a judge of a municipal court of record who is an attorney licensed by the state to the county not having a municipal court of record with a courtro</w:t>
            </w:r>
            <w:r>
              <w:t>om located in that county and a judge who is an attorney licensed by the state</w:t>
            </w:r>
            <w:r>
              <w:t>.</w:t>
            </w:r>
          </w:p>
          <w:p w:rsidR="008423E4" w:rsidRPr="00835628" w:rsidRDefault="00F95954" w:rsidP="002548AB">
            <w:pPr>
              <w:rPr>
                <w:b/>
              </w:rPr>
            </w:pPr>
          </w:p>
        </w:tc>
      </w:tr>
      <w:tr w:rsidR="004F1A84" w:rsidTr="00345119">
        <w:tc>
          <w:tcPr>
            <w:tcW w:w="9576" w:type="dxa"/>
          </w:tcPr>
          <w:p w:rsidR="008423E4" w:rsidRPr="00A8133F" w:rsidRDefault="00F95954" w:rsidP="0025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5954" w:rsidP="002548AB"/>
          <w:p w:rsidR="008423E4" w:rsidRPr="003624F2" w:rsidRDefault="00F95954" w:rsidP="0025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95954" w:rsidP="002548AB">
            <w:pPr>
              <w:rPr>
                <w:b/>
              </w:rPr>
            </w:pPr>
          </w:p>
        </w:tc>
      </w:tr>
    </w:tbl>
    <w:p w:rsidR="008423E4" w:rsidRPr="00BE0E75" w:rsidRDefault="00F959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595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954">
      <w:r>
        <w:separator/>
      </w:r>
    </w:p>
  </w:endnote>
  <w:endnote w:type="continuationSeparator" w:id="0">
    <w:p w:rsidR="00000000" w:rsidRDefault="00F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1A84" w:rsidTr="009C1E9A">
      <w:trPr>
        <w:cantSplit/>
      </w:trPr>
      <w:tc>
        <w:tcPr>
          <w:tcW w:w="0" w:type="pct"/>
        </w:tcPr>
        <w:p w:rsidR="00137D90" w:rsidRDefault="00F95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59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59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5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5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1A84" w:rsidTr="009C1E9A">
      <w:trPr>
        <w:cantSplit/>
      </w:trPr>
      <w:tc>
        <w:tcPr>
          <w:tcW w:w="0" w:type="pct"/>
        </w:tcPr>
        <w:p w:rsidR="00EC379B" w:rsidRDefault="00F95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59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18019</w:t>
          </w:r>
        </w:p>
      </w:tc>
      <w:tc>
        <w:tcPr>
          <w:tcW w:w="2453" w:type="pct"/>
        </w:tcPr>
        <w:p w:rsidR="00EC379B" w:rsidRDefault="00F95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17.75.215</w:t>
          </w:r>
          <w:r>
            <w:fldChar w:fldCharType="end"/>
          </w:r>
        </w:p>
      </w:tc>
    </w:tr>
    <w:tr w:rsidR="004F1A84" w:rsidTr="009C1E9A">
      <w:trPr>
        <w:cantSplit/>
      </w:trPr>
      <w:tc>
        <w:tcPr>
          <w:tcW w:w="0" w:type="pct"/>
        </w:tcPr>
        <w:p w:rsidR="00EC379B" w:rsidRDefault="00F95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5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95954" w:rsidP="006D504F">
          <w:pPr>
            <w:pStyle w:val="Footer"/>
            <w:rPr>
              <w:rStyle w:val="PageNumber"/>
            </w:rPr>
          </w:pPr>
        </w:p>
        <w:p w:rsidR="00EC379B" w:rsidRDefault="00F95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1A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59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59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59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954">
      <w:r>
        <w:separator/>
      </w:r>
    </w:p>
  </w:footnote>
  <w:footnote w:type="continuationSeparator" w:id="0">
    <w:p w:rsidR="00000000" w:rsidRDefault="00F9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84"/>
    <w:rsid w:val="004F1A84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1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135"/>
  </w:style>
  <w:style w:type="paragraph" w:styleId="CommentSubject">
    <w:name w:val="annotation subject"/>
    <w:basedOn w:val="CommentText"/>
    <w:next w:val="CommentText"/>
    <w:link w:val="CommentSubjectChar"/>
    <w:rsid w:val="0007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1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135"/>
  </w:style>
  <w:style w:type="paragraph" w:styleId="CommentSubject">
    <w:name w:val="annotation subject"/>
    <w:basedOn w:val="CommentText"/>
    <w:next w:val="CommentText"/>
    <w:link w:val="CommentSubjectChar"/>
    <w:rsid w:val="0007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1336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HB01727 (Committee Report (Unamended))</vt:lpstr>
    </vt:vector>
  </TitlesOfParts>
  <Company>State of Texas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18019</dc:subject>
  <dc:creator>State of Texas</dc:creator>
  <dc:description>HB 1727 by Faircloth-(H)Criminal Jurisprudence</dc:description>
  <cp:lastModifiedBy>Molly Hoffman-Bricker</cp:lastModifiedBy>
  <cp:revision>2</cp:revision>
  <cp:lastPrinted>2017-03-16T23:56:00Z</cp:lastPrinted>
  <dcterms:created xsi:type="dcterms:W3CDTF">2017-03-28T21:55:00Z</dcterms:created>
  <dcterms:modified xsi:type="dcterms:W3CDTF">2017-03-28T21:55:00Z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17.75.215</vt:lpwstr>
  </property>
</Properties>
</file>