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223A8" w:rsidTr="00345119">
        <w:tc>
          <w:tcPr>
            <w:tcW w:w="9576" w:type="dxa"/>
            <w:noWrap/>
          </w:tcPr>
          <w:p w:rsidR="008423E4" w:rsidRPr="0022177D" w:rsidRDefault="00A411AE" w:rsidP="00345119">
            <w:pPr>
              <w:pStyle w:val="Heading1"/>
            </w:pPr>
            <w:bookmarkStart w:id="0" w:name="_GoBack"/>
            <w:bookmarkEnd w:id="0"/>
            <w:r w:rsidRPr="00631897">
              <w:t>BILL ANALYSIS</w:t>
            </w:r>
          </w:p>
        </w:tc>
      </w:tr>
    </w:tbl>
    <w:p w:rsidR="008423E4" w:rsidRPr="0022177D" w:rsidRDefault="00A411AE" w:rsidP="008423E4">
      <w:pPr>
        <w:jc w:val="center"/>
      </w:pPr>
    </w:p>
    <w:p w:rsidR="008423E4" w:rsidRPr="00B31F0E" w:rsidRDefault="00A411AE" w:rsidP="008423E4"/>
    <w:p w:rsidR="008423E4" w:rsidRPr="00742794" w:rsidRDefault="00A411AE" w:rsidP="008423E4">
      <w:pPr>
        <w:tabs>
          <w:tab w:val="right" w:pos="9360"/>
        </w:tabs>
      </w:pPr>
    </w:p>
    <w:tbl>
      <w:tblPr>
        <w:tblW w:w="0" w:type="auto"/>
        <w:tblLayout w:type="fixed"/>
        <w:tblLook w:val="01E0" w:firstRow="1" w:lastRow="1" w:firstColumn="1" w:lastColumn="1" w:noHBand="0" w:noVBand="0"/>
      </w:tblPr>
      <w:tblGrid>
        <w:gridCol w:w="9576"/>
      </w:tblGrid>
      <w:tr w:rsidR="000223A8" w:rsidTr="00345119">
        <w:tc>
          <w:tcPr>
            <w:tcW w:w="9576" w:type="dxa"/>
          </w:tcPr>
          <w:p w:rsidR="008423E4" w:rsidRPr="00861995" w:rsidRDefault="00A411AE" w:rsidP="00345119">
            <w:pPr>
              <w:jc w:val="right"/>
            </w:pPr>
            <w:r>
              <w:t>C.S.H.B. 1771</w:t>
            </w:r>
          </w:p>
        </w:tc>
      </w:tr>
      <w:tr w:rsidR="000223A8" w:rsidTr="00345119">
        <w:tc>
          <w:tcPr>
            <w:tcW w:w="9576" w:type="dxa"/>
          </w:tcPr>
          <w:p w:rsidR="008423E4" w:rsidRPr="00861995" w:rsidRDefault="00A411AE" w:rsidP="00176A5E">
            <w:pPr>
              <w:jc w:val="right"/>
            </w:pPr>
            <w:r>
              <w:t xml:space="preserve">By: </w:t>
            </w:r>
            <w:r>
              <w:t>Price</w:t>
            </w:r>
          </w:p>
        </w:tc>
      </w:tr>
      <w:tr w:rsidR="000223A8" w:rsidTr="00345119">
        <w:tc>
          <w:tcPr>
            <w:tcW w:w="9576" w:type="dxa"/>
          </w:tcPr>
          <w:p w:rsidR="008423E4" w:rsidRPr="00861995" w:rsidRDefault="00A411AE" w:rsidP="00345119">
            <w:pPr>
              <w:jc w:val="right"/>
            </w:pPr>
            <w:r>
              <w:t>Culture, Recreation &amp; Tourism</w:t>
            </w:r>
          </w:p>
        </w:tc>
      </w:tr>
      <w:tr w:rsidR="000223A8" w:rsidTr="00345119">
        <w:tc>
          <w:tcPr>
            <w:tcW w:w="9576" w:type="dxa"/>
          </w:tcPr>
          <w:p w:rsidR="008423E4" w:rsidRDefault="00A411AE" w:rsidP="00345119">
            <w:pPr>
              <w:jc w:val="right"/>
            </w:pPr>
            <w:r>
              <w:t>Committee Report (Substituted)</w:t>
            </w:r>
          </w:p>
        </w:tc>
      </w:tr>
    </w:tbl>
    <w:p w:rsidR="008423E4" w:rsidRDefault="00A411AE" w:rsidP="008423E4">
      <w:pPr>
        <w:tabs>
          <w:tab w:val="right" w:pos="9360"/>
        </w:tabs>
      </w:pPr>
    </w:p>
    <w:p w:rsidR="008423E4" w:rsidRDefault="00A411AE" w:rsidP="008423E4"/>
    <w:p w:rsidR="008423E4" w:rsidRDefault="00A411AE" w:rsidP="008423E4"/>
    <w:tbl>
      <w:tblPr>
        <w:tblW w:w="0" w:type="auto"/>
        <w:tblCellMar>
          <w:left w:w="115" w:type="dxa"/>
          <w:right w:w="115" w:type="dxa"/>
        </w:tblCellMar>
        <w:tblLook w:val="01E0" w:firstRow="1" w:lastRow="1" w:firstColumn="1" w:lastColumn="1" w:noHBand="0" w:noVBand="0"/>
      </w:tblPr>
      <w:tblGrid>
        <w:gridCol w:w="9582"/>
      </w:tblGrid>
      <w:tr w:rsidR="000223A8" w:rsidTr="00176A5E">
        <w:tc>
          <w:tcPr>
            <w:tcW w:w="9582" w:type="dxa"/>
          </w:tcPr>
          <w:p w:rsidR="008423E4" w:rsidRPr="00A8133F" w:rsidRDefault="00A411AE" w:rsidP="00B72B10">
            <w:pPr>
              <w:rPr>
                <w:b/>
              </w:rPr>
            </w:pPr>
            <w:r w:rsidRPr="009C1E9A">
              <w:rPr>
                <w:b/>
                <w:u w:val="single"/>
              </w:rPr>
              <w:t>BACKGROUND AND PURPOSE</w:t>
            </w:r>
            <w:r>
              <w:rPr>
                <w:b/>
              </w:rPr>
              <w:t xml:space="preserve"> </w:t>
            </w:r>
          </w:p>
          <w:p w:rsidR="008423E4" w:rsidRDefault="00A411AE" w:rsidP="00B72B10"/>
          <w:p w:rsidR="008423E4" w:rsidRDefault="00A411AE" w:rsidP="00B72B10">
            <w:pPr>
              <w:pStyle w:val="Header"/>
              <w:tabs>
                <w:tab w:val="clear" w:pos="4320"/>
                <w:tab w:val="clear" w:pos="8640"/>
              </w:tabs>
              <w:jc w:val="both"/>
            </w:pPr>
            <w:r>
              <w:t>Interested parties contend that civilians are discharging firearms and</w:t>
            </w:r>
            <w:r>
              <w:t xml:space="preserve"> shooting</w:t>
            </w:r>
            <w:r>
              <w:t xml:space="preserve"> arrows from bows </w:t>
            </w:r>
            <w:r>
              <w:t xml:space="preserve">in and on the beds and </w:t>
            </w:r>
            <w:r>
              <w:t>banks of</w:t>
            </w:r>
            <w:r>
              <w:t xml:space="preserve"> a</w:t>
            </w:r>
            <w:r>
              <w:t xml:space="preserve"> certain</w:t>
            </w:r>
            <w:r>
              <w:t xml:space="preserve"> portion of the Canadian River and </w:t>
            </w:r>
            <w:r>
              <w:t xml:space="preserve">that </w:t>
            </w:r>
            <w:r>
              <w:t>the bullets and arrows are crossing into private property.</w:t>
            </w:r>
            <w:r>
              <w:t xml:space="preserve"> </w:t>
            </w:r>
            <w:r>
              <w:t>C.S.</w:t>
            </w:r>
            <w:r>
              <w:t>H</w:t>
            </w:r>
            <w:r>
              <w:t>.</w:t>
            </w:r>
            <w:r>
              <w:t>B</w:t>
            </w:r>
            <w:r>
              <w:t>.</w:t>
            </w:r>
            <w:r>
              <w:t xml:space="preserve"> 1771</w:t>
            </w:r>
            <w:r>
              <w:t xml:space="preserve"> seeks to address this issue by prohibiting such actions in a </w:t>
            </w:r>
            <w:r>
              <w:t>specified</w:t>
            </w:r>
            <w:r>
              <w:t xml:space="preserve"> area</w:t>
            </w:r>
            <w:r>
              <w:t>, with certain limited exceptions</w:t>
            </w:r>
            <w:r>
              <w:t>.</w:t>
            </w:r>
          </w:p>
          <w:p w:rsidR="008423E4" w:rsidRPr="00E26B13" w:rsidRDefault="00A411AE" w:rsidP="00B72B10">
            <w:pPr>
              <w:rPr>
                <w:b/>
              </w:rPr>
            </w:pPr>
          </w:p>
        </w:tc>
      </w:tr>
      <w:tr w:rsidR="000223A8" w:rsidTr="00176A5E">
        <w:tc>
          <w:tcPr>
            <w:tcW w:w="9582" w:type="dxa"/>
          </w:tcPr>
          <w:p w:rsidR="0017725B" w:rsidRDefault="00A411AE" w:rsidP="00B72B10">
            <w:pPr>
              <w:rPr>
                <w:b/>
                <w:u w:val="single"/>
              </w:rPr>
            </w:pPr>
            <w:r>
              <w:rPr>
                <w:b/>
                <w:u w:val="single"/>
              </w:rPr>
              <w:t>CRIMINAL JUST</w:t>
            </w:r>
            <w:r>
              <w:rPr>
                <w:b/>
                <w:u w:val="single"/>
              </w:rPr>
              <w:t>ICE IMPACT</w:t>
            </w:r>
          </w:p>
          <w:p w:rsidR="0017725B" w:rsidRDefault="00A411AE" w:rsidP="00B72B10">
            <w:pPr>
              <w:rPr>
                <w:b/>
                <w:u w:val="single"/>
              </w:rPr>
            </w:pPr>
          </w:p>
          <w:p w:rsidR="00231FED" w:rsidRPr="00231FED" w:rsidRDefault="00A411AE" w:rsidP="00B72B10">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or mandatory supervision.</w:t>
            </w:r>
          </w:p>
          <w:p w:rsidR="0017725B" w:rsidRPr="0017725B" w:rsidRDefault="00A411AE" w:rsidP="00B72B10">
            <w:pPr>
              <w:rPr>
                <w:b/>
                <w:u w:val="single"/>
              </w:rPr>
            </w:pPr>
          </w:p>
        </w:tc>
      </w:tr>
      <w:tr w:rsidR="000223A8" w:rsidTr="00176A5E">
        <w:tc>
          <w:tcPr>
            <w:tcW w:w="9582" w:type="dxa"/>
          </w:tcPr>
          <w:p w:rsidR="008423E4" w:rsidRPr="00A8133F" w:rsidRDefault="00A411AE" w:rsidP="00B72B10">
            <w:pPr>
              <w:rPr>
                <w:b/>
              </w:rPr>
            </w:pPr>
            <w:r w:rsidRPr="009C1E9A">
              <w:rPr>
                <w:b/>
                <w:u w:val="single"/>
              </w:rPr>
              <w:t>RULEMAKING AUTHORITY</w:t>
            </w:r>
            <w:r>
              <w:rPr>
                <w:b/>
              </w:rPr>
              <w:t xml:space="preserve"> </w:t>
            </w:r>
          </w:p>
          <w:p w:rsidR="008423E4" w:rsidRDefault="00A411AE" w:rsidP="00B72B10"/>
          <w:p w:rsidR="00231FED" w:rsidRDefault="00A411AE" w:rsidP="00B72B1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411AE" w:rsidP="00B72B10">
            <w:pPr>
              <w:rPr>
                <w:b/>
              </w:rPr>
            </w:pPr>
          </w:p>
        </w:tc>
      </w:tr>
      <w:tr w:rsidR="000223A8" w:rsidTr="00176A5E">
        <w:tc>
          <w:tcPr>
            <w:tcW w:w="9582" w:type="dxa"/>
          </w:tcPr>
          <w:p w:rsidR="008423E4" w:rsidRPr="00A8133F" w:rsidRDefault="00A411AE" w:rsidP="00B72B10">
            <w:pPr>
              <w:rPr>
                <w:b/>
              </w:rPr>
            </w:pPr>
            <w:r w:rsidRPr="009C1E9A">
              <w:rPr>
                <w:b/>
                <w:u w:val="single"/>
              </w:rPr>
              <w:t>ANALYSIS</w:t>
            </w:r>
            <w:r>
              <w:rPr>
                <w:b/>
              </w:rPr>
              <w:t xml:space="preserve"> </w:t>
            </w:r>
          </w:p>
          <w:p w:rsidR="008423E4" w:rsidRDefault="00A411AE" w:rsidP="00B72B10"/>
          <w:p w:rsidR="00E03D52" w:rsidRDefault="00A411AE" w:rsidP="00B72B10">
            <w:pPr>
              <w:pStyle w:val="Header"/>
              <w:jc w:val="both"/>
            </w:pPr>
            <w:r>
              <w:t>C.S.</w:t>
            </w:r>
            <w:r>
              <w:t xml:space="preserve">H.B. 1771 amends the Parks and Wildlife Code to prohibit a person </w:t>
            </w:r>
            <w:r>
              <w:t>from discharging a firearm or shooting an arrow from any kind of bow</w:t>
            </w:r>
            <w:r>
              <w:t xml:space="preserve"> if</w:t>
            </w:r>
            <w:r>
              <w:t>,</w:t>
            </w:r>
            <w:r>
              <w:t xml:space="preserve"> </w:t>
            </w:r>
            <w:r>
              <w:t>at the time the firearm is discharged or the arrow is shot from the bow</w:t>
            </w:r>
            <w:r>
              <w:t>,</w:t>
            </w:r>
            <w:r>
              <w:t xml:space="preserve"> </w:t>
            </w:r>
            <w:r>
              <w:t>the person is located in or on the bed or ba</w:t>
            </w:r>
            <w:r>
              <w:t xml:space="preserve">nk of the segment of the Canadian River </w:t>
            </w:r>
            <w:r>
              <w:t>extending from</w:t>
            </w:r>
            <w:r>
              <w:t xml:space="preserve"> the intersection of </w:t>
            </w:r>
            <w:r>
              <w:t>U.S.</w:t>
            </w:r>
            <w:r>
              <w:t xml:space="preserve"> Highways 287 and 87 and the Canadian River </w:t>
            </w:r>
            <w:r>
              <w:t xml:space="preserve">to </w:t>
            </w:r>
            <w:r w:rsidRPr="003C5E35">
              <w:t>a point 1.2 miles west of the intersection, marked by a structure serving as a railroad trestle</w:t>
            </w:r>
            <w:r>
              <w:t>,</w:t>
            </w:r>
            <w:r w:rsidRPr="003C5E35">
              <w:t xml:space="preserve"> and</w:t>
            </w:r>
            <w:r>
              <w:t xml:space="preserve"> to </w:t>
            </w:r>
            <w:r w:rsidRPr="003C5E35">
              <w:t xml:space="preserve">a point 1.5 miles east of </w:t>
            </w:r>
            <w:r w:rsidRPr="003C5E35">
              <w:t>the intersection, where the Canadian River enters the Lake Meredith National Recreational Area</w:t>
            </w:r>
            <w:r>
              <w:t>.</w:t>
            </w:r>
            <w:r>
              <w:t xml:space="preserve"> The bill exempts from the prohibition </w:t>
            </w:r>
            <w:r>
              <w:t xml:space="preserve">an individual acting in the scope of the individual's duties as a peace officer or </w:t>
            </w:r>
            <w:r w:rsidRPr="00D531B0">
              <w:t>Parks and Wildlife Department</w:t>
            </w:r>
            <w:r>
              <w:t xml:space="preserve"> employee </w:t>
            </w:r>
            <w:r>
              <w:t>and</w:t>
            </w:r>
            <w:r>
              <w:t xml:space="preserve"> </w:t>
            </w:r>
            <w:r>
              <w:t xml:space="preserve">also exempts </w:t>
            </w:r>
            <w:r>
              <w:t>the discharge of a shotgun loaded with ammunition that releases only shot when discharged.</w:t>
            </w:r>
            <w:r>
              <w:t xml:space="preserve"> The bill expressly </w:t>
            </w:r>
            <w:r>
              <w:t xml:space="preserve">does not limit the ability of a </w:t>
            </w:r>
            <w:r w:rsidRPr="00263271">
              <w:t>handgun</w:t>
            </w:r>
            <w:r>
              <w:t xml:space="preserve"> </w:t>
            </w:r>
            <w:r>
              <w:t xml:space="preserve">license holder to carry a </w:t>
            </w:r>
            <w:r>
              <w:t xml:space="preserve">concealed </w:t>
            </w:r>
            <w:r>
              <w:t>handgun.</w:t>
            </w:r>
          </w:p>
          <w:p w:rsidR="00E7277C" w:rsidRPr="00CD1618" w:rsidRDefault="00A411AE" w:rsidP="00B72B10">
            <w:pPr>
              <w:pStyle w:val="Header"/>
              <w:jc w:val="both"/>
            </w:pPr>
          </w:p>
        </w:tc>
      </w:tr>
      <w:tr w:rsidR="000223A8" w:rsidTr="00176A5E">
        <w:tc>
          <w:tcPr>
            <w:tcW w:w="9582" w:type="dxa"/>
          </w:tcPr>
          <w:p w:rsidR="008423E4" w:rsidRPr="00A8133F" w:rsidRDefault="00A411AE" w:rsidP="00B72B10">
            <w:pPr>
              <w:rPr>
                <w:b/>
              </w:rPr>
            </w:pPr>
            <w:r w:rsidRPr="009C1E9A">
              <w:rPr>
                <w:b/>
                <w:u w:val="single"/>
              </w:rPr>
              <w:t>EFFECTIVE DATE</w:t>
            </w:r>
            <w:r>
              <w:rPr>
                <w:b/>
              </w:rPr>
              <w:t xml:space="preserve"> </w:t>
            </w:r>
          </w:p>
          <w:p w:rsidR="008423E4" w:rsidRDefault="00A411AE" w:rsidP="00B72B10"/>
          <w:p w:rsidR="008423E4" w:rsidRDefault="00A411AE" w:rsidP="00B72B10">
            <w:pPr>
              <w:pStyle w:val="Header"/>
              <w:tabs>
                <w:tab w:val="clear" w:pos="4320"/>
                <w:tab w:val="clear" w:pos="8640"/>
              </w:tabs>
              <w:jc w:val="both"/>
            </w:pPr>
            <w:r>
              <w:t>September 1, 2017.</w:t>
            </w:r>
          </w:p>
          <w:p w:rsidR="001631D5" w:rsidRPr="00233FDB" w:rsidRDefault="00A411AE" w:rsidP="00B72B10">
            <w:pPr>
              <w:pStyle w:val="Header"/>
              <w:tabs>
                <w:tab w:val="clear" w:pos="4320"/>
                <w:tab w:val="clear" w:pos="8640"/>
              </w:tabs>
              <w:jc w:val="both"/>
              <w:rPr>
                <w:b/>
              </w:rPr>
            </w:pPr>
          </w:p>
        </w:tc>
      </w:tr>
      <w:tr w:rsidR="000223A8" w:rsidTr="00176A5E">
        <w:tc>
          <w:tcPr>
            <w:tcW w:w="9582" w:type="dxa"/>
          </w:tcPr>
          <w:p w:rsidR="00176A5E" w:rsidRDefault="00A411AE" w:rsidP="00B72B10">
            <w:pPr>
              <w:jc w:val="both"/>
              <w:rPr>
                <w:b/>
                <w:u w:val="single"/>
              </w:rPr>
            </w:pPr>
            <w:r>
              <w:rPr>
                <w:b/>
                <w:u w:val="single"/>
              </w:rPr>
              <w:t>COMPARISON OF ORIGINAL AND SUBSTITUTE</w:t>
            </w:r>
          </w:p>
          <w:p w:rsidR="007852B2" w:rsidRDefault="00A411AE" w:rsidP="00B72B10">
            <w:pPr>
              <w:jc w:val="both"/>
            </w:pPr>
          </w:p>
          <w:p w:rsidR="007852B2" w:rsidRDefault="00A411AE" w:rsidP="00B72B10">
            <w:pPr>
              <w:jc w:val="both"/>
            </w:pPr>
            <w:r>
              <w:t>While C.S.H.B.</w:t>
            </w:r>
            <w:r>
              <w:t xml:space="preserve"> 1771</w:t>
            </w:r>
            <w:r>
              <w:t xml:space="preserve"> may differ from the original in minor or nonsubstantive ways, the following comparison is organized and formatted in a manner that indicates the substantial differences between the introduced and c</w:t>
            </w:r>
            <w:r>
              <w:t>ommittee substitute versions of the bill.</w:t>
            </w:r>
          </w:p>
          <w:p w:rsidR="00B72B10" w:rsidRDefault="00A411AE" w:rsidP="00B72B10">
            <w:pPr>
              <w:jc w:val="both"/>
            </w:pPr>
          </w:p>
          <w:p w:rsidR="00642496" w:rsidRDefault="00A411AE" w:rsidP="00B72B10">
            <w:pPr>
              <w:jc w:val="both"/>
            </w:pPr>
          </w:p>
          <w:p w:rsidR="00642496" w:rsidRPr="007852B2" w:rsidRDefault="00A411AE" w:rsidP="00B72B10">
            <w:pPr>
              <w:jc w:val="both"/>
            </w:pPr>
          </w:p>
        </w:tc>
      </w:tr>
      <w:tr w:rsidR="000223A8" w:rsidTr="00176A5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223A8" w:rsidTr="00176A5E">
              <w:trPr>
                <w:cantSplit/>
                <w:tblHeader/>
              </w:trPr>
              <w:tc>
                <w:tcPr>
                  <w:tcW w:w="4673" w:type="dxa"/>
                  <w:tcMar>
                    <w:bottom w:w="188" w:type="dxa"/>
                  </w:tcMar>
                </w:tcPr>
                <w:p w:rsidR="00176A5E" w:rsidRDefault="00A411AE" w:rsidP="00B72B10">
                  <w:pPr>
                    <w:jc w:val="center"/>
                  </w:pPr>
                  <w:r>
                    <w:lastRenderedPageBreak/>
                    <w:t>INTRODUCED</w:t>
                  </w:r>
                </w:p>
              </w:tc>
              <w:tc>
                <w:tcPr>
                  <w:tcW w:w="4673" w:type="dxa"/>
                  <w:tcMar>
                    <w:bottom w:w="188" w:type="dxa"/>
                  </w:tcMar>
                </w:tcPr>
                <w:p w:rsidR="00176A5E" w:rsidRDefault="00A411AE" w:rsidP="00B72B10">
                  <w:pPr>
                    <w:jc w:val="center"/>
                  </w:pPr>
                  <w:r>
                    <w:t>HOUSE COMMITTEE SUBSTITUTE</w:t>
                  </w:r>
                </w:p>
              </w:tc>
            </w:tr>
            <w:tr w:rsidR="000223A8" w:rsidTr="00176A5E">
              <w:tc>
                <w:tcPr>
                  <w:tcW w:w="4673" w:type="dxa"/>
                  <w:tcMar>
                    <w:right w:w="360" w:type="dxa"/>
                  </w:tcMar>
                </w:tcPr>
                <w:p w:rsidR="00176A5E" w:rsidRDefault="00A411AE" w:rsidP="00B72B10">
                  <w:pPr>
                    <w:jc w:val="both"/>
                  </w:pPr>
                  <w:r>
                    <w:t>SECTION 1.  Title 7, Parks and Wildlife Code, is amended by adding Chapter 287 to read as follows:</w:t>
                  </w:r>
                </w:p>
                <w:p w:rsidR="00176A5E" w:rsidRDefault="00A411AE" w:rsidP="00B72B10">
                  <w:pPr>
                    <w:jc w:val="both"/>
                  </w:pPr>
                  <w:r>
                    <w:rPr>
                      <w:u w:val="single"/>
                    </w:rPr>
                    <w:t>CHAPTER 287.  POTTER COUNTY</w:t>
                  </w:r>
                </w:p>
                <w:p w:rsidR="00176A5E" w:rsidRDefault="00A411AE" w:rsidP="00B72B10">
                  <w:pPr>
                    <w:jc w:val="both"/>
                  </w:pPr>
                  <w:r>
                    <w:rPr>
                      <w:u w:val="single"/>
                    </w:rPr>
                    <w:t xml:space="preserve">Sec. 287.001.  DISCHARGE OF FIREARM </w:t>
                  </w:r>
                  <w:r>
                    <w:rPr>
                      <w:u w:val="single"/>
                    </w:rPr>
                    <w:t>PROHIBITED.  (a)  In this section, "firearm" has the meaning assigned by Section 62.014.</w:t>
                  </w:r>
                </w:p>
                <w:p w:rsidR="00176A5E" w:rsidRDefault="00A411AE" w:rsidP="00B72B10">
                  <w:pPr>
                    <w:jc w:val="both"/>
                    <w:rPr>
                      <w:u w:val="single"/>
                    </w:rPr>
                  </w:pPr>
                  <w:r>
                    <w:rPr>
                      <w:u w:val="single"/>
                    </w:rPr>
                    <w:t xml:space="preserve">(b)  This section applies only to the </w:t>
                  </w:r>
                  <w:r w:rsidRPr="007852B2">
                    <w:rPr>
                      <w:highlight w:val="lightGray"/>
                      <w:u w:val="single"/>
                    </w:rPr>
                    <w:t>two-mile</w:t>
                  </w:r>
                  <w:r>
                    <w:rPr>
                      <w:u w:val="single"/>
                    </w:rPr>
                    <w:t xml:space="preserve"> segment of the Canadian River </w:t>
                  </w:r>
                  <w:r w:rsidRPr="007852B2">
                    <w:rPr>
                      <w:highlight w:val="lightGray"/>
                      <w:u w:val="single"/>
                    </w:rPr>
                    <w:t xml:space="preserve">in Potter </w:t>
                  </w:r>
                  <w:r w:rsidRPr="00AD791B">
                    <w:rPr>
                      <w:highlight w:val="lightGray"/>
                      <w:u w:val="single"/>
                    </w:rPr>
                    <w:t>County centered on</w:t>
                  </w:r>
                  <w:r>
                    <w:rPr>
                      <w:u w:val="single"/>
                    </w:rPr>
                    <w:t xml:space="preserve"> the intersection of United States Highways 287 and 87 and the</w:t>
                  </w:r>
                  <w:r>
                    <w:rPr>
                      <w:u w:val="single"/>
                    </w:rPr>
                    <w:t xml:space="preserve"> Canadian River.</w:t>
                  </w:r>
                </w:p>
                <w:p w:rsidR="007852B2" w:rsidRDefault="00A411AE" w:rsidP="00B72B10">
                  <w:pPr>
                    <w:jc w:val="both"/>
                    <w:rPr>
                      <w:u w:val="single"/>
                    </w:rPr>
                  </w:pPr>
                </w:p>
                <w:p w:rsidR="007852B2" w:rsidRDefault="00A411AE" w:rsidP="00B72B10">
                  <w:pPr>
                    <w:jc w:val="both"/>
                    <w:rPr>
                      <w:u w:val="single"/>
                    </w:rPr>
                  </w:pPr>
                </w:p>
                <w:p w:rsidR="007852B2" w:rsidRDefault="00A411AE" w:rsidP="00B72B10">
                  <w:pPr>
                    <w:jc w:val="both"/>
                    <w:rPr>
                      <w:u w:val="single"/>
                    </w:rPr>
                  </w:pPr>
                </w:p>
                <w:p w:rsidR="007852B2" w:rsidRDefault="00A411AE" w:rsidP="00B72B10">
                  <w:pPr>
                    <w:jc w:val="both"/>
                    <w:rPr>
                      <w:u w:val="single"/>
                    </w:rPr>
                  </w:pPr>
                </w:p>
                <w:p w:rsidR="007852B2" w:rsidRDefault="00A411AE" w:rsidP="00B72B10">
                  <w:pPr>
                    <w:jc w:val="both"/>
                  </w:pPr>
                </w:p>
                <w:p w:rsidR="00176A5E" w:rsidRDefault="00A411AE" w:rsidP="00B72B10">
                  <w:pPr>
                    <w:jc w:val="both"/>
                  </w:pPr>
                  <w:r>
                    <w:rPr>
                      <w:u w:val="single"/>
                    </w:rPr>
                    <w:t>(c)  Except as provided by Subsection (d), a person may not discharge a firearm or shoot an arrow from any kind of bow if the person is located in or on the bed or bank of the portion of the Canadian River to which this chapter applie</w:t>
                  </w:r>
                  <w:r>
                    <w:rPr>
                      <w:u w:val="single"/>
                    </w:rPr>
                    <w:t>s at the time the firearm is discharged or the arrow is shot from the bow.</w:t>
                  </w:r>
                </w:p>
                <w:p w:rsidR="00176A5E" w:rsidRDefault="00A411AE" w:rsidP="00B72B10">
                  <w:pPr>
                    <w:jc w:val="both"/>
                  </w:pPr>
                  <w:r>
                    <w:rPr>
                      <w:u w:val="single"/>
                    </w:rPr>
                    <w:t>(d)  This section does not apply to:</w:t>
                  </w:r>
                </w:p>
                <w:p w:rsidR="00176A5E" w:rsidRDefault="00A411AE" w:rsidP="00B72B10">
                  <w:pPr>
                    <w:jc w:val="both"/>
                  </w:pPr>
                  <w:r>
                    <w:rPr>
                      <w:u w:val="single"/>
                    </w:rPr>
                    <w:t>(1)  an individual acting in the scope of the individual's duties as a peace officer or department employee; or</w:t>
                  </w:r>
                </w:p>
                <w:p w:rsidR="00176A5E" w:rsidRDefault="00A411AE" w:rsidP="00B72B10">
                  <w:pPr>
                    <w:jc w:val="both"/>
                  </w:pPr>
                  <w:r>
                    <w:rPr>
                      <w:u w:val="single"/>
                    </w:rPr>
                    <w:t xml:space="preserve">(2)  the discharge of a shotgun </w:t>
                  </w:r>
                  <w:r>
                    <w:rPr>
                      <w:u w:val="single"/>
                    </w:rPr>
                    <w:t>loaded with ammunition that releases only shot when discharged.</w:t>
                  </w:r>
                </w:p>
                <w:p w:rsidR="00176A5E" w:rsidRDefault="00A411AE" w:rsidP="00B72B10">
                  <w:pPr>
                    <w:jc w:val="both"/>
                  </w:pPr>
                  <w:r>
                    <w:rPr>
                      <w:u w:val="single"/>
                    </w:rPr>
                    <w:t>(e)  This section does not limit the ability of a license holder to carry a concealed handgun under the authority of Subchapter H, Chapter 411, Government Code.</w:t>
                  </w:r>
                </w:p>
              </w:tc>
              <w:tc>
                <w:tcPr>
                  <w:tcW w:w="4673" w:type="dxa"/>
                  <w:tcMar>
                    <w:left w:w="360" w:type="dxa"/>
                  </w:tcMar>
                </w:tcPr>
                <w:p w:rsidR="00176A5E" w:rsidRDefault="00A411AE" w:rsidP="00B72B10">
                  <w:pPr>
                    <w:jc w:val="both"/>
                  </w:pPr>
                  <w:r>
                    <w:t xml:space="preserve">SECTION 1.  Title 7, Parks and </w:t>
                  </w:r>
                  <w:r>
                    <w:t>Wildlife Code, is amended by adding Chapter 287 to read as follows:</w:t>
                  </w:r>
                </w:p>
                <w:p w:rsidR="00176A5E" w:rsidRDefault="00A411AE" w:rsidP="00B72B10">
                  <w:pPr>
                    <w:jc w:val="both"/>
                  </w:pPr>
                  <w:r>
                    <w:rPr>
                      <w:u w:val="single"/>
                    </w:rPr>
                    <w:t>CHAPTER 287.  POTTER COUNTY</w:t>
                  </w:r>
                </w:p>
                <w:p w:rsidR="00176A5E" w:rsidRDefault="00A411AE" w:rsidP="00B72B10">
                  <w:pPr>
                    <w:jc w:val="both"/>
                  </w:pPr>
                  <w:r>
                    <w:rPr>
                      <w:u w:val="single"/>
                    </w:rPr>
                    <w:t>Sec. 287.001.  DISCHARGE OF FIREARM PROHIBITED.  (a)  In this section, "firearm" has the meaning assigned by Section 62.014.</w:t>
                  </w:r>
                </w:p>
                <w:p w:rsidR="00176A5E" w:rsidRPr="007852B2" w:rsidRDefault="00A411AE" w:rsidP="00B72B10">
                  <w:pPr>
                    <w:jc w:val="both"/>
                    <w:rPr>
                      <w:highlight w:val="lightGray"/>
                    </w:rPr>
                  </w:pPr>
                  <w:r>
                    <w:rPr>
                      <w:u w:val="single"/>
                    </w:rPr>
                    <w:t>(b)  This section applies only to t</w:t>
                  </w:r>
                  <w:r>
                    <w:rPr>
                      <w:u w:val="single"/>
                    </w:rPr>
                    <w:t xml:space="preserve">he segment of the Canadian River </w:t>
                  </w:r>
                  <w:r w:rsidRPr="007852B2">
                    <w:rPr>
                      <w:highlight w:val="lightGray"/>
                      <w:u w:val="single"/>
                    </w:rPr>
                    <w:t>extending from</w:t>
                  </w:r>
                  <w:r>
                    <w:rPr>
                      <w:u w:val="single"/>
                    </w:rPr>
                    <w:t xml:space="preserve"> the intersection of United States Highways 287 and 87 and the Canadian River </w:t>
                  </w:r>
                  <w:r w:rsidRPr="007852B2">
                    <w:rPr>
                      <w:highlight w:val="lightGray"/>
                      <w:u w:val="single"/>
                    </w:rPr>
                    <w:t>to:</w:t>
                  </w:r>
                </w:p>
                <w:p w:rsidR="00176A5E" w:rsidRPr="007852B2" w:rsidRDefault="00A411AE" w:rsidP="00B72B10">
                  <w:pPr>
                    <w:jc w:val="both"/>
                    <w:rPr>
                      <w:highlight w:val="lightGray"/>
                    </w:rPr>
                  </w:pPr>
                  <w:r w:rsidRPr="007852B2">
                    <w:rPr>
                      <w:highlight w:val="lightGray"/>
                      <w:u w:val="single"/>
                    </w:rPr>
                    <w:t>(1)  a point 1.2 miles west of the intersection, marked by a structure serving as a railroad trestle; and</w:t>
                  </w:r>
                </w:p>
                <w:p w:rsidR="00176A5E" w:rsidRDefault="00A411AE" w:rsidP="00B72B10">
                  <w:pPr>
                    <w:jc w:val="both"/>
                  </w:pPr>
                  <w:r w:rsidRPr="007852B2">
                    <w:rPr>
                      <w:highlight w:val="lightGray"/>
                      <w:u w:val="single"/>
                    </w:rPr>
                    <w:t>(2)  a point 1.5 mile</w:t>
                  </w:r>
                  <w:r w:rsidRPr="007852B2">
                    <w:rPr>
                      <w:highlight w:val="lightGray"/>
                      <w:u w:val="single"/>
                    </w:rPr>
                    <w:t>s east of the intersection, where the Canadian River enters the Lake Meredith National Recreational Area.</w:t>
                  </w:r>
                </w:p>
                <w:p w:rsidR="00176A5E" w:rsidRDefault="00A411AE" w:rsidP="00B72B10">
                  <w:pPr>
                    <w:jc w:val="both"/>
                  </w:pPr>
                  <w:r>
                    <w:rPr>
                      <w:u w:val="single"/>
                    </w:rPr>
                    <w:t xml:space="preserve">(c)  Except as provided by Subsection (d), a person may not discharge a firearm or shoot an arrow from any kind of bow if the person is located in or </w:t>
                  </w:r>
                  <w:r>
                    <w:rPr>
                      <w:u w:val="single"/>
                    </w:rPr>
                    <w:t>on the bed or bank of the portion of the Canadian River to which this chapter applies at the time the firearm is discharged or the arrow is shot from the bow.</w:t>
                  </w:r>
                </w:p>
                <w:p w:rsidR="00176A5E" w:rsidRDefault="00A411AE" w:rsidP="00B72B10">
                  <w:pPr>
                    <w:jc w:val="both"/>
                  </w:pPr>
                  <w:r>
                    <w:rPr>
                      <w:u w:val="single"/>
                    </w:rPr>
                    <w:t>(d)  This section does not apply to:</w:t>
                  </w:r>
                </w:p>
                <w:p w:rsidR="00176A5E" w:rsidRDefault="00A411AE" w:rsidP="00B72B10">
                  <w:pPr>
                    <w:jc w:val="both"/>
                  </w:pPr>
                  <w:r>
                    <w:rPr>
                      <w:u w:val="single"/>
                    </w:rPr>
                    <w:t>(1)  an individual acting in the scope of the individual's d</w:t>
                  </w:r>
                  <w:r>
                    <w:rPr>
                      <w:u w:val="single"/>
                    </w:rPr>
                    <w:t>uties as a peace officer or department employee; or</w:t>
                  </w:r>
                </w:p>
                <w:p w:rsidR="00176A5E" w:rsidRDefault="00A411AE" w:rsidP="00B72B10">
                  <w:pPr>
                    <w:jc w:val="both"/>
                  </w:pPr>
                  <w:r>
                    <w:rPr>
                      <w:u w:val="single"/>
                    </w:rPr>
                    <w:t>(2)  the discharge of a shotgun loaded with ammunition that releases only shot when discharged.</w:t>
                  </w:r>
                </w:p>
                <w:p w:rsidR="00176A5E" w:rsidRDefault="00A411AE" w:rsidP="00B72B10">
                  <w:pPr>
                    <w:jc w:val="both"/>
                  </w:pPr>
                  <w:r>
                    <w:rPr>
                      <w:u w:val="single"/>
                    </w:rPr>
                    <w:t>(e)  This section does not limit the ability of a license holder to carry a concealed handgun under the auth</w:t>
                  </w:r>
                  <w:r>
                    <w:rPr>
                      <w:u w:val="single"/>
                    </w:rPr>
                    <w:t>ority of Subchapter H, Chapter 411, Government Code.</w:t>
                  </w:r>
                </w:p>
              </w:tc>
            </w:tr>
            <w:tr w:rsidR="000223A8" w:rsidTr="00176A5E">
              <w:tc>
                <w:tcPr>
                  <w:tcW w:w="4673" w:type="dxa"/>
                  <w:tcMar>
                    <w:right w:w="360" w:type="dxa"/>
                  </w:tcMar>
                </w:tcPr>
                <w:p w:rsidR="00176A5E" w:rsidRDefault="00A411AE" w:rsidP="00B72B10">
                  <w:pPr>
                    <w:jc w:val="both"/>
                  </w:pPr>
                  <w:r>
                    <w:t>SECTION 2.  This Act takes effect September 1, 2017.</w:t>
                  </w:r>
                </w:p>
              </w:tc>
              <w:tc>
                <w:tcPr>
                  <w:tcW w:w="4673" w:type="dxa"/>
                  <w:tcMar>
                    <w:left w:w="360" w:type="dxa"/>
                  </w:tcMar>
                </w:tcPr>
                <w:p w:rsidR="00176A5E" w:rsidRDefault="00A411AE" w:rsidP="00B72B10">
                  <w:pPr>
                    <w:jc w:val="both"/>
                  </w:pPr>
                  <w:r>
                    <w:t>SECTION 2. Same as introduced version.</w:t>
                  </w:r>
                </w:p>
                <w:p w:rsidR="00176A5E" w:rsidRDefault="00A411AE" w:rsidP="00B72B10">
                  <w:pPr>
                    <w:jc w:val="both"/>
                  </w:pPr>
                </w:p>
              </w:tc>
            </w:tr>
          </w:tbl>
          <w:p w:rsidR="00176A5E" w:rsidRDefault="00A411AE" w:rsidP="00B72B10"/>
          <w:p w:rsidR="00176A5E" w:rsidRPr="009C1E9A" w:rsidRDefault="00A411AE" w:rsidP="00B72B10">
            <w:pPr>
              <w:rPr>
                <w:b/>
                <w:u w:val="single"/>
              </w:rPr>
            </w:pPr>
          </w:p>
        </w:tc>
      </w:tr>
    </w:tbl>
    <w:p w:rsidR="008423E4" w:rsidRPr="00BE0E75" w:rsidRDefault="00A411AE" w:rsidP="008423E4">
      <w:pPr>
        <w:spacing w:line="480" w:lineRule="auto"/>
        <w:jc w:val="both"/>
        <w:rPr>
          <w:rFonts w:ascii="Arial" w:hAnsi="Arial"/>
          <w:sz w:val="16"/>
          <w:szCs w:val="16"/>
        </w:rPr>
      </w:pPr>
    </w:p>
    <w:p w:rsidR="004108C3" w:rsidRPr="008423E4" w:rsidRDefault="00A411A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11AE">
      <w:r>
        <w:separator/>
      </w:r>
    </w:p>
  </w:endnote>
  <w:endnote w:type="continuationSeparator" w:id="0">
    <w:p w:rsidR="00000000" w:rsidRDefault="00A4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B9" w:rsidRDefault="00A41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223A8" w:rsidTr="009C1E9A">
      <w:trPr>
        <w:cantSplit/>
      </w:trPr>
      <w:tc>
        <w:tcPr>
          <w:tcW w:w="0" w:type="pct"/>
        </w:tcPr>
        <w:p w:rsidR="00137D90" w:rsidRDefault="00A411AE" w:rsidP="009C1E9A">
          <w:pPr>
            <w:pStyle w:val="Footer"/>
            <w:tabs>
              <w:tab w:val="clear" w:pos="8640"/>
              <w:tab w:val="right" w:pos="9360"/>
            </w:tabs>
          </w:pPr>
        </w:p>
      </w:tc>
      <w:tc>
        <w:tcPr>
          <w:tcW w:w="2395" w:type="pct"/>
        </w:tcPr>
        <w:p w:rsidR="00137D90" w:rsidRDefault="00A411AE" w:rsidP="009C1E9A">
          <w:pPr>
            <w:pStyle w:val="Footer"/>
            <w:tabs>
              <w:tab w:val="clear" w:pos="8640"/>
              <w:tab w:val="right" w:pos="9360"/>
            </w:tabs>
          </w:pPr>
        </w:p>
        <w:p w:rsidR="001A4310" w:rsidRDefault="00A411AE" w:rsidP="009C1E9A">
          <w:pPr>
            <w:pStyle w:val="Footer"/>
            <w:tabs>
              <w:tab w:val="clear" w:pos="8640"/>
              <w:tab w:val="right" w:pos="9360"/>
            </w:tabs>
          </w:pPr>
        </w:p>
        <w:p w:rsidR="00137D90" w:rsidRDefault="00A411AE" w:rsidP="009C1E9A">
          <w:pPr>
            <w:pStyle w:val="Footer"/>
            <w:tabs>
              <w:tab w:val="clear" w:pos="8640"/>
              <w:tab w:val="right" w:pos="9360"/>
            </w:tabs>
          </w:pPr>
        </w:p>
      </w:tc>
      <w:tc>
        <w:tcPr>
          <w:tcW w:w="2453" w:type="pct"/>
        </w:tcPr>
        <w:p w:rsidR="00137D90" w:rsidRDefault="00A411AE" w:rsidP="009C1E9A">
          <w:pPr>
            <w:pStyle w:val="Footer"/>
            <w:tabs>
              <w:tab w:val="clear" w:pos="8640"/>
              <w:tab w:val="right" w:pos="9360"/>
            </w:tabs>
            <w:jc w:val="right"/>
          </w:pPr>
        </w:p>
      </w:tc>
    </w:tr>
    <w:tr w:rsidR="000223A8" w:rsidTr="009C1E9A">
      <w:trPr>
        <w:cantSplit/>
      </w:trPr>
      <w:tc>
        <w:tcPr>
          <w:tcW w:w="0" w:type="pct"/>
        </w:tcPr>
        <w:p w:rsidR="00EC379B" w:rsidRDefault="00A411AE" w:rsidP="009C1E9A">
          <w:pPr>
            <w:pStyle w:val="Footer"/>
            <w:tabs>
              <w:tab w:val="clear" w:pos="8640"/>
              <w:tab w:val="right" w:pos="9360"/>
            </w:tabs>
          </w:pPr>
        </w:p>
      </w:tc>
      <w:tc>
        <w:tcPr>
          <w:tcW w:w="2395" w:type="pct"/>
        </w:tcPr>
        <w:p w:rsidR="00EC379B" w:rsidRPr="009C1E9A" w:rsidRDefault="00A411AE" w:rsidP="009C1E9A">
          <w:pPr>
            <w:pStyle w:val="Footer"/>
            <w:tabs>
              <w:tab w:val="clear" w:pos="8640"/>
              <w:tab w:val="right" w:pos="9360"/>
            </w:tabs>
            <w:rPr>
              <w:rFonts w:ascii="Shruti" w:hAnsi="Shruti"/>
              <w:sz w:val="22"/>
            </w:rPr>
          </w:pPr>
          <w:r>
            <w:rPr>
              <w:rFonts w:ascii="Shruti" w:hAnsi="Shruti"/>
              <w:sz w:val="22"/>
            </w:rPr>
            <w:t>85R 21592</w:t>
          </w:r>
        </w:p>
      </w:tc>
      <w:tc>
        <w:tcPr>
          <w:tcW w:w="2453" w:type="pct"/>
        </w:tcPr>
        <w:p w:rsidR="00EC379B" w:rsidRDefault="00A411AE" w:rsidP="009C1E9A">
          <w:pPr>
            <w:pStyle w:val="Footer"/>
            <w:tabs>
              <w:tab w:val="clear" w:pos="8640"/>
              <w:tab w:val="right" w:pos="9360"/>
            </w:tabs>
            <w:jc w:val="right"/>
          </w:pPr>
          <w:r>
            <w:fldChar w:fldCharType="begin"/>
          </w:r>
          <w:r>
            <w:instrText xml:space="preserve"> DOCPROPERTY  OTID  \* MERGEFORMAT </w:instrText>
          </w:r>
          <w:r>
            <w:fldChar w:fldCharType="separate"/>
          </w:r>
          <w:r>
            <w:t>17.95.419</w:t>
          </w:r>
          <w:r>
            <w:fldChar w:fldCharType="end"/>
          </w:r>
        </w:p>
      </w:tc>
    </w:tr>
    <w:tr w:rsidR="000223A8" w:rsidTr="009C1E9A">
      <w:trPr>
        <w:cantSplit/>
      </w:trPr>
      <w:tc>
        <w:tcPr>
          <w:tcW w:w="0" w:type="pct"/>
        </w:tcPr>
        <w:p w:rsidR="00EC379B" w:rsidRDefault="00A411AE" w:rsidP="009C1E9A">
          <w:pPr>
            <w:pStyle w:val="Footer"/>
            <w:tabs>
              <w:tab w:val="clear" w:pos="4320"/>
              <w:tab w:val="clear" w:pos="8640"/>
              <w:tab w:val="left" w:pos="2865"/>
            </w:tabs>
          </w:pPr>
        </w:p>
      </w:tc>
      <w:tc>
        <w:tcPr>
          <w:tcW w:w="2395" w:type="pct"/>
        </w:tcPr>
        <w:p w:rsidR="00EC379B" w:rsidRPr="009C1E9A" w:rsidRDefault="00A411AE" w:rsidP="009C1E9A">
          <w:pPr>
            <w:pStyle w:val="Footer"/>
            <w:tabs>
              <w:tab w:val="clear" w:pos="4320"/>
              <w:tab w:val="clear" w:pos="8640"/>
              <w:tab w:val="left" w:pos="2865"/>
            </w:tabs>
            <w:rPr>
              <w:rFonts w:ascii="Shruti" w:hAnsi="Shruti"/>
              <w:sz w:val="22"/>
            </w:rPr>
          </w:pPr>
          <w:r>
            <w:rPr>
              <w:rFonts w:ascii="Shruti" w:hAnsi="Shruti"/>
              <w:sz w:val="22"/>
            </w:rPr>
            <w:t>Substitute Document Number: 85R 19648</w:t>
          </w:r>
        </w:p>
      </w:tc>
      <w:tc>
        <w:tcPr>
          <w:tcW w:w="2453" w:type="pct"/>
        </w:tcPr>
        <w:p w:rsidR="00EC379B" w:rsidRDefault="00A411AE" w:rsidP="006D504F">
          <w:pPr>
            <w:pStyle w:val="Footer"/>
            <w:rPr>
              <w:rStyle w:val="PageNumber"/>
            </w:rPr>
          </w:pPr>
        </w:p>
        <w:p w:rsidR="00EC379B" w:rsidRDefault="00A411AE" w:rsidP="009C1E9A">
          <w:pPr>
            <w:pStyle w:val="Footer"/>
            <w:tabs>
              <w:tab w:val="clear" w:pos="8640"/>
              <w:tab w:val="right" w:pos="9360"/>
            </w:tabs>
            <w:jc w:val="right"/>
          </w:pPr>
        </w:p>
      </w:tc>
    </w:tr>
    <w:tr w:rsidR="000223A8" w:rsidTr="009C1E9A">
      <w:trPr>
        <w:cantSplit/>
        <w:trHeight w:val="323"/>
      </w:trPr>
      <w:tc>
        <w:tcPr>
          <w:tcW w:w="0" w:type="pct"/>
          <w:gridSpan w:val="3"/>
        </w:tcPr>
        <w:p w:rsidR="00EC379B" w:rsidRDefault="00A411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411AE" w:rsidP="009C1E9A">
          <w:pPr>
            <w:pStyle w:val="Footer"/>
            <w:tabs>
              <w:tab w:val="clear" w:pos="8640"/>
              <w:tab w:val="right" w:pos="9360"/>
            </w:tabs>
            <w:jc w:val="center"/>
          </w:pPr>
        </w:p>
      </w:tc>
    </w:tr>
  </w:tbl>
  <w:p w:rsidR="00EC379B" w:rsidRPr="00FF6F72" w:rsidRDefault="00A411A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B9" w:rsidRDefault="00A4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11AE">
      <w:r>
        <w:separator/>
      </w:r>
    </w:p>
  </w:footnote>
  <w:footnote w:type="continuationSeparator" w:id="0">
    <w:p w:rsidR="00000000" w:rsidRDefault="00A4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B9" w:rsidRDefault="00A41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B9" w:rsidRDefault="00A41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B9" w:rsidRDefault="00A41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A8"/>
    <w:rsid w:val="000223A8"/>
    <w:rsid w:val="00A4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50E3"/>
    <w:rPr>
      <w:sz w:val="16"/>
      <w:szCs w:val="16"/>
    </w:rPr>
  </w:style>
  <w:style w:type="paragraph" w:styleId="CommentText">
    <w:name w:val="annotation text"/>
    <w:basedOn w:val="Normal"/>
    <w:link w:val="CommentTextChar"/>
    <w:rsid w:val="000450E3"/>
    <w:rPr>
      <w:sz w:val="20"/>
      <w:szCs w:val="20"/>
    </w:rPr>
  </w:style>
  <w:style w:type="character" w:customStyle="1" w:styleId="CommentTextChar">
    <w:name w:val="Comment Text Char"/>
    <w:basedOn w:val="DefaultParagraphFont"/>
    <w:link w:val="CommentText"/>
    <w:rsid w:val="000450E3"/>
  </w:style>
  <w:style w:type="paragraph" w:styleId="CommentSubject">
    <w:name w:val="annotation subject"/>
    <w:basedOn w:val="CommentText"/>
    <w:next w:val="CommentText"/>
    <w:link w:val="CommentSubjectChar"/>
    <w:rsid w:val="000450E3"/>
    <w:rPr>
      <w:b/>
      <w:bCs/>
    </w:rPr>
  </w:style>
  <w:style w:type="character" w:customStyle="1" w:styleId="CommentSubjectChar">
    <w:name w:val="Comment Subject Char"/>
    <w:basedOn w:val="CommentTextChar"/>
    <w:link w:val="CommentSubject"/>
    <w:rsid w:val="000450E3"/>
    <w:rPr>
      <w:b/>
      <w:bCs/>
    </w:rPr>
  </w:style>
  <w:style w:type="character" w:styleId="Hyperlink">
    <w:name w:val="Hyperlink"/>
    <w:basedOn w:val="DefaultParagraphFont"/>
    <w:rsid w:val="00263271"/>
    <w:rPr>
      <w:color w:val="0000FF" w:themeColor="hyperlink"/>
      <w:u w:val="single"/>
    </w:rPr>
  </w:style>
  <w:style w:type="character" w:styleId="FollowedHyperlink">
    <w:name w:val="FollowedHyperlink"/>
    <w:basedOn w:val="DefaultParagraphFont"/>
    <w:rsid w:val="00E03D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50E3"/>
    <w:rPr>
      <w:sz w:val="16"/>
      <w:szCs w:val="16"/>
    </w:rPr>
  </w:style>
  <w:style w:type="paragraph" w:styleId="CommentText">
    <w:name w:val="annotation text"/>
    <w:basedOn w:val="Normal"/>
    <w:link w:val="CommentTextChar"/>
    <w:rsid w:val="000450E3"/>
    <w:rPr>
      <w:sz w:val="20"/>
      <w:szCs w:val="20"/>
    </w:rPr>
  </w:style>
  <w:style w:type="character" w:customStyle="1" w:styleId="CommentTextChar">
    <w:name w:val="Comment Text Char"/>
    <w:basedOn w:val="DefaultParagraphFont"/>
    <w:link w:val="CommentText"/>
    <w:rsid w:val="000450E3"/>
  </w:style>
  <w:style w:type="paragraph" w:styleId="CommentSubject">
    <w:name w:val="annotation subject"/>
    <w:basedOn w:val="CommentText"/>
    <w:next w:val="CommentText"/>
    <w:link w:val="CommentSubjectChar"/>
    <w:rsid w:val="000450E3"/>
    <w:rPr>
      <w:b/>
      <w:bCs/>
    </w:rPr>
  </w:style>
  <w:style w:type="character" w:customStyle="1" w:styleId="CommentSubjectChar">
    <w:name w:val="Comment Subject Char"/>
    <w:basedOn w:val="CommentTextChar"/>
    <w:link w:val="CommentSubject"/>
    <w:rsid w:val="000450E3"/>
    <w:rPr>
      <w:b/>
      <w:bCs/>
    </w:rPr>
  </w:style>
  <w:style w:type="character" w:styleId="Hyperlink">
    <w:name w:val="Hyperlink"/>
    <w:basedOn w:val="DefaultParagraphFont"/>
    <w:rsid w:val="00263271"/>
    <w:rPr>
      <w:color w:val="0000FF" w:themeColor="hyperlink"/>
      <w:u w:val="single"/>
    </w:rPr>
  </w:style>
  <w:style w:type="character" w:styleId="FollowedHyperlink">
    <w:name w:val="FollowedHyperlink"/>
    <w:basedOn w:val="DefaultParagraphFont"/>
    <w:rsid w:val="00E03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4083</Characters>
  <Application>Microsoft Office Word</Application>
  <DocSecurity>4</DocSecurity>
  <Lines>138</Lines>
  <Paragraphs>41</Paragraphs>
  <ScaleCrop>false</ScaleCrop>
  <HeadingPairs>
    <vt:vector size="2" baseType="variant">
      <vt:variant>
        <vt:lpstr>Title</vt:lpstr>
      </vt:variant>
      <vt:variant>
        <vt:i4>1</vt:i4>
      </vt:variant>
    </vt:vector>
  </HeadingPairs>
  <TitlesOfParts>
    <vt:vector size="1" baseType="lpstr">
      <vt:lpstr>BA - HB01771 (Committee Report (Substituted))</vt:lpstr>
    </vt:vector>
  </TitlesOfParts>
  <Company>State of Texas</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21592</dc:subject>
  <dc:creator>State of Texas</dc:creator>
  <dc:description>HB 1771 by Price-(H)Culture, Recreation &amp; Tourism (Substitute Document Number: 85R 19648)</dc:description>
  <cp:lastModifiedBy>Brianna Weis</cp:lastModifiedBy>
  <cp:revision>2</cp:revision>
  <cp:lastPrinted>2017-04-06T14:46:00Z</cp:lastPrinted>
  <dcterms:created xsi:type="dcterms:W3CDTF">2017-04-10T17:50:00Z</dcterms:created>
  <dcterms:modified xsi:type="dcterms:W3CDTF">2017-04-10T17:50:00Z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17.95.419</vt:lpwstr>
  </property>
</Properties>
</file>