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2791" w:rsidTr="00345119">
        <w:tc>
          <w:tcPr>
            <w:tcW w:w="9576" w:type="dxa"/>
            <w:noWrap/>
          </w:tcPr>
          <w:p w:rsidR="008423E4" w:rsidRPr="0022177D" w:rsidRDefault="00F026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26E3" w:rsidP="008423E4">
      <w:pPr>
        <w:jc w:val="center"/>
      </w:pPr>
    </w:p>
    <w:p w:rsidR="008423E4" w:rsidRPr="00B31F0E" w:rsidRDefault="00F026E3" w:rsidP="008423E4"/>
    <w:p w:rsidR="008423E4" w:rsidRPr="00742794" w:rsidRDefault="00F026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2791" w:rsidTr="00345119">
        <w:tc>
          <w:tcPr>
            <w:tcW w:w="9576" w:type="dxa"/>
          </w:tcPr>
          <w:p w:rsidR="008423E4" w:rsidRPr="00861995" w:rsidRDefault="00F026E3" w:rsidP="00345119">
            <w:pPr>
              <w:jc w:val="right"/>
            </w:pPr>
            <w:r>
              <w:t>C.S.H.B. 1893</w:t>
            </w:r>
          </w:p>
        </w:tc>
      </w:tr>
      <w:tr w:rsidR="00682791" w:rsidTr="00345119">
        <w:tc>
          <w:tcPr>
            <w:tcW w:w="9576" w:type="dxa"/>
          </w:tcPr>
          <w:p w:rsidR="008423E4" w:rsidRPr="00861995" w:rsidRDefault="00F026E3" w:rsidP="007F7610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682791" w:rsidTr="00345119">
        <w:tc>
          <w:tcPr>
            <w:tcW w:w="9576" w:type="dxa"/>
          </w:tcPr>
          <w:p w:rsidR="008423E4" w:rsidRPr="00861995" w:rsidRDefault="00F026E3" w:rsidP="00345119">
            <w:pPr>
              <w:jc w:val="right"/>
            </w:pPr>
            <w:r>
              <w:t>Elections</w:t>
            </w:r>
          </w:p>
        </w:tc>
      </w:tr>
      <w:tr w:rsidR="00682791" w:rsidTr="00345119">
        <w:tc>
          <w:tcPr>
            <w:tcW w:w="9576" w:type="dxa"/>
          </w:tcPr>
          <w:p w:rsidR="008423E4" w:rsidRDefault="00F026E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26E3" w:rsidP="008423E4">
      <w:pPr>
        <w:tabs>
          <w:tab w:val="right" w:pos="9360"/>
        </w:tabs>
      </w:pPr>
    </w:p>
    <w:p w:rsidR="008423E4" w:rsidRDefault="00F026E3" w:rsidP="008423E4"/>
    <w:p w:rsidR="008423E4" w:rsidRDefault="00F026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82791" w:rsidTr="007F7610">
        <w:tc>
          <w:tcPr>
            <w:tcW w:w="9582" w:type="dxa"/>
          </w:tcPr>
          <w:p w:rsidR="008423E4" w:rsidRPr="00A8133F" w:rsidRDefault="00F026E3" w:rsidP="000E52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26E3" w:rsidP="000E529F"/>
          <w:p w:rsidR="00D4006D" w:rsidRDefault="00F026E3" w:rsidP="000E529F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it would be beneficial to require a </w:t>
            </w:r>
            <w:r>
              <w:t xml:space="preserve">county election officer to contract with the county executive </w:t>
            </w:r>
            <w:r>
              <w:t>committee of a political party holding a primary election in the county to perform election services</w:t>
            </w:r>
            <w:r>
              <w:t xml:space="preserve"> because it </w:t>
            </w:r>
            <w:r>
              <w:t xml:space="preserve">would help to </w:t>
            </w:r>
            <w:r>
              <w:t xml:space="preserve">ensure that </w:t>
            </w:r>
            <w:r>
              <w:t xml:space="preserve">such elections are administered by </w:t>
            </w:r>
            <w:r>
              <w:t>trained professionals</w:t>
            </w:r>
            <w:r>
              <w:t xml:space="preserve">. </w:t>
            </w:r>
            <w:r>
              <w:t>C.S.</w:t>
            </w:r>
            <w:r>
              <w:t xml:space="preserve">H.B. 1893 seeks to address this issue </w:t>
            </w:r>
            <w:r>
              <w:t xml:space="preserve">by </w:t>
            </w:r>
            <w:r>
              <w:t>making</w:t>
            </w:r>
            <w:r>
              <w:t xml:space="preserve"> such </w:t>
            </w:r>
            <w:r>
              <w:t>con</w:t>
            </w:r>
            <w:r>
              <w:t>tract</w:t>
            </w:r>
            <w:r>
              <w:t>s mandatory</w:t>
            </w:r>
            <w:r>
              <w:t xml:space="preserve"> on request of the party's county chair</w:t>
            </w:r>
            <w:r>
              <w:t>.</w:t>
            </w:r>
            <w:r>
              <w:t xml:space="preserve"> </w:t>
            </w:r>
          </w:p>
          <w:p w:rsidR="008423E4" w:rsidRPr="00E26B13" w:rsidRDefault="00F026E3" w:rsidP="000E529F">
            <w:pPr>
              <w:pStyle w:val="Header"/>
              <w:jc w:val="both"/>
              <w:rPr>
                <w:b/>
              </w:rPr>
            </w:pPr>
          </w:p>
        </w:tc>
      </w:tr>
      <w:tr w:rsidR="00682791" w:rsidTr="007F7610">
        <w:tc>
          <w:tcPr>
            <w:tcW w:w="9582" w:type="dxa"/>
          </w:tcPr>
          <w:p w:rsidR="0017725B" w:rsidRDefault="00F026E3" w:rsidP="000E52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26E3" w:rsidP="000E529F">
            <w:pPr>
              <w:rPr>
                <w:b/>
                <w:u w:val="single"/>
              </w:rPr>
            </w:pPr>
          </w:p>
          <w:p w:rsidR="009C2E55" w:rsidRPr="009C2E55" w:rsidRDefault="00F026E3" w:rsidP="000E52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F026E3" w:rsidP="000E529F">
            <w:pPr>
              <w:rPr>
                <w:b/>
                <w:u w:val="single"/>
              </w:rPr>
            </w:pPr>
          </w:p>
        </w:tc>
      </w:tr>
      <w:tr w:rsidR="00682791" w:rsidTr="007F7610">
        <w:tc>
          <w:tcPr>
            <w:tcW w:w="9582" w:type="dxa"/>
          </w:tcPr>
          <w:p w:rsidR="008423E4" w:rsidRPr="00A8133F" w:rsidRDefault="00F026E3" w:rsidP="000E52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26E3" w:rsidP="000E529F"/>
          <w:p w:rsidR="009C2E55" w:rsidRDefault="00F026E3" w:rsidP="000E52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026E3" w:rsidP="000E529F">
            <w:pPr>
              <w:rPr>
                <w:b/>
              </w:rPr>
            </w:pPr>
          </w:p>
        </w:tc>
      </w:tr>
      <w:tr w:rsidR="00682791" w:rsidTr="007F7610">
        <w:tc>
          <w:tcPr>
            <w:tcW w:w="9582" w:type="dxa"/>
          </w:tcPr>
          <w:p w:rsidR="008423E4" w:rsidRPr="00A8133F" w:rsidRDefault="00F026E3" w:rsidP="000E52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26E3" w:rsidP="000E529F"/>
          <w:p w:rsidR="00662142" w:rsidRDefault="00F026E3" w:rsidP="000E52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1893 amends the </w:t>
            </w:r>
            <w:r>
              <w:t xml:space="preserve">Election Code to </w:t>
            </w:r>
            <w:r>
              <w:t>replace</w:t>
            </w:r>
            <w:r>
              <w:t xml:space="preserve"> the authorization </w:t>
            </w:r>
            <w:r>
              <w:t xml:space="preserve">for the county election officer </w:t>
            </w:r>
            <w:r>
              <w:t xml:space="preserve">to </w:t>
            </w:r>
            <w:r>
              <w:t>c</w:t>
            </w:r>
            <w:r w:rsidRPr="00C70A07">
              <w:t>ontract with the county executive committee of a political party holding a primary election in the coun</w:t>
            </w:r>
            <w:r w:rsidRPr="00C70A07">
              <w:t>ty to perform election services in the party's general primary election</w:t>
            </w:r>
            <w:r>
              <w:t>,</w:t>
            </w:r>
            <w:r w:rsidRPr="00C70A07">
              <w:t xml:space="preserve"> </w:t>
            </w:r>
            <w:r>
              <w:t xml:space="preserve">runoff primary election, or both with </w:t>
            </w:r>
            <w:r>
              <w:t xml:space="preserve">a requirement </w:t>
            </w:r>
            <w:r>
              <w:t>that</w:t>
            </w:r>
            <w:r>
              <w:t xml:space="preserve"> the county election officer, on request of the county chair </w:t>
            </w:r>
            <w:r w:rsidRPr="00C70A07">
              <w:t>of a political party holding a primary election in the county</w:t>
            </w:r>
            <w:r>
              <w:t>,</w:t>
            </w:r>
            <w:r w:rsidRPr="00C70A07">
              <w:t xml:space="preserve"> </w:t>
            </w:r>
            <w:r>
              <w:t>con</w:t>
            </w:r>
            <w:r>
              <w:t xml:space="preserve">tract with the party's county executive committee to </w:t>
            </w:r>
            <w:r w:rsidRPr="00C70A07">
              <w:t>perform election services in the party's general primary election</w:t>
            </w:r>
            <w:r>
              <w:t xml:space="preserve"> and</w:t>
            </w:r>
            <w:r w:rsidRPr="00C70A07">
              <w:t xml:space="preserve"> </w:t>
            </w:r>
            <w:r>
              <w:t>runoff primary election</w:t>
            </w:r>
            <w:r>
              <w:t xml:space="preserve"> </w:t>
            </w:r>
            <w:r w:rsidRPr="00C70A07">
              <w:t>in accordance with a cost schedule agreed on by the contracting parties</w:t>
            </w:r>
            <w:r>
              <w:t>.</w:t>
            </w:r>
          </w:p>
          <w:p w:rsidR="008423E4" w:rsidRPr="00835628" w:rsidRDefault="00F026E3" w:rsidP="000E529F">
            <w:pPr>
              <w:rPr>
                <w:b/>
              </w:rPr>
            </w:pPr>
          </w:p>
        </w:tc>
      </w:tr>
      <w:tr w:rsidR="00682791" w:rsidTr="007F7610">
        <w:tc>
          <w:tcPr>
            <w:tcW w:w="9582" w:type="dxa"/>
          </w:tcPr>
          <w:p w:rsidR="008423E4" w:rsidRPr="00A8133F" w:rsidRDefault="00F026E3" w:rsidP="000E52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26E3" w:rsidP="000E529F"/>
          <w:p w:rsidR="008423E4" w:rsidRPr="003624F2" w:rsidRDefault="00F026E3" w:rsidP="000E52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  <w:p w:rsidR="008423E4" w:rsidRPr="00233FDB" w:rsidRDefault="00F026E3" w:rsidP="000E529F">
            <w:pPr>
              <w:rPr>
                <w:b/>
              </w:rPr>
            </w:pPr>
          </w:p>
        </w:tc>
      </w:tr>
      <w:tr w:rsidR="00682791" w:rsidTr="007F7610">
        <w:tc>
          <w:tcPr>
            <w:tcW w:w="9582" w:type="dxa"/>
          </w:tcPr>
          <w:p w:rsidR="007F7610" w:rsidRDefault="00F026E3" w:rsidP="000E52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E2A81" w:rsidRDefault="00F026E3" w:rsidP="000E529F">
            <w:pPr>
              <w:jc w:val="both"/>
            </w:pPr>
          </w:p>
          <w:p w:rsidR="00CE2A81" w:rsidRDefault="00F026E3" w:rsidP="000E529F">
            <w:pPr>
              <w:jc w:val="both"/>
            </w:pPr>
            <w:r>
              <w:t>While C.S.H.B. 1893 may differ from the original in minor or nonsubstantive ways, the following comparison is organized and formatted in a manner that indicates the substantial differences between the introduced a</w:t>
            </w:r>
            <w:r>
              <w:t>nd committee substitute versions of the bill.</w:t>
            </w:r>
          </w:p>
          <w:p w:rsidR="00CE2A81" w:rsidRPr="00CE2A81" w:rsidRDefault="00F026E3" w:rsidP="000E529F">
            <w:pPr>
              <w:jc w:val="both"/>
            </w:pPr>
          </w:p>
        </w:tc>
      </w:tr>
      <w:tr w:rsidR="00682791" w:rsidTr="007F761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91"/>
              <w:gridCol w:w="4655"/>
            </w:tblGrid>
            <w:tr w:rsidR="00682791" w:rsidTr="007F7610">
              <w:trPr>
                <w:cantSplit/>
                <w:tblHeader/>
              </w:trPr>
              <w:tc>
                <w:tcPr>
                  <w:tcW w:w="4691" w:type="dxa"/>
                  <w:tcMar>
                    <w:bottom w:w="188" w:type="dxa"/>
                  </w:tcMar>
                </w:tcPr>
                <w:p w:rsidR="007F7610" w:rsidRDefault="00F026E3" w:rsidP="000E529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55" w:type="dxa"/>
                  <w:tcMar>
                    <w:bottom w:w="188" w:type="dxa"/>
                  </w:tcMar>
                </w:tcPr>
                <w:p w:rsidR="007F7610" w:rsidRDefault="00F026E3" w:rsidP="000E529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82791" w:rsidTr="007F7610">
              <w:tc>
                <w:tcPr>
                  <w:tcW w:w="4691" w:type="dxa"/>
                  <w:tcMar>
                    <w:right w:w="360" w:type="dxa"/>
                  </w:tcMar>
                </w:tcPr>
                <w:p w:rsidR="007F7610" w:rsidRDefault="00F026E3" w:rsidP="000E529F">
                  <w:pPr>
                    <w:jc w:val="both"/>
                  </w:pPr>
                  <w:r>
                    <w:t xml:space="preserve">SECTION 1.  Sections 31.092(b), (d), and (e), Election Code, are transferred to Section </w:t>
                  </w:r>
                  <w:r>
                    <w:lastRenderedPageBreak/>
                    <w:t>31.093, Election Code, redesignated as Sections 31.093(c), (d), and (e), Election</w:t>
                  </w:r>
                  <w:r>
                    <w:t xml:space="preserve"> Code, respectively, and amended to read as follows:</w:t>
                  </w:r>
                </w:p>
                <w:p w:rsidR="0068157F" w:rsidRDefault="00F026E3" w:rsidP="000E529F">
                  <w:pPr>
                    <w:jc w:val="both"/>
                    <w:rPr>
                      <w:u w:val="single"/>
                    </w:rPr>
                  </w:pPr>
                </w:p>
                <w:p w:rsidR="0068157F" w:rsidRDefault="00F026E3" w:rsidP="000E529F">
                  <w:pPr>
                    <w:jc w:val="both"/>
                    <w:rPr>
                      <w:u w:val="single"/>
                    </w:rPr>
                  </w:pPr>
                </w:p>
                <w:p w:rsidR="007F7610" w:rsidRDefault="00F026E3" w:rsidP="000E529F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(b)</w:t>
                  </w:r>
                  <w:r>
                    <w:t xml:space="preserve">]  The county election officer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 xml:space="preserve">] contract with the county executive committee of </w:t>
                  </w:r>
                  <w:r w:rsidRPr="00FE1918">
                    <w:t>a political party holding a primary election in the county</w:t>
                  </w:r>
                  <w:r>
                    <w:t xml:space="preserve"> to perform election services, as provided b</w:t>
                  </w:r>
                  <w:r>
                    <w:t xml:space="preserve">y this subchapter, in the party's general primary election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 xml:space="preserve">] runoff primary election </w:t>
                  </w:r>
                  <w:r>
                    <w:rPr>
                      <w:u w:val="single"/>
                    </w:rPr>
                    <w:t>in accordance with a cost schedule agreed on by the contracting parties</w:t>
                  </w:r>
                  <w:r>
                    <w:t>[</w:t>
                  </w:r>
                  <w:r>
                    <w:rPr>
                      <w:strike/>
                    </w:rPr>
                    <w:t>, or both</w:t>
                  </w:r>
                  <w:r>
                    <w:t>].</w:t>
                  </w:r>
                </w:p>
                <w:p w:rsidR="00CE2A81" w:rsidRDefault="00F026E3" w:rsidP="000E529F">
                  <w:pPr>
                    <w:jc w:val="both"/>
                  </w:pPr>
                </w:p>
                <w:p w:rsidR="007F7610" w:rsidRDefault="00F026E3" w:rsidP="000E529F">
                  <w:pPr>
                    <w:jc w:val="both"/>
                  </w:pPr>
                  <w:r>
                    <w:t xml:space="preserve">(d)  In a contract </w:t>
                  </w:r>
                  <w:r>
                    <w:rPr>
                      <w:u w:val="single"/>
                    </w:rPr>
                    <w:t>required</w:t>
                  </w:r>
                  <w:r>
                    <w:t xml:space="preserve"> [</w:t>
                  </w:r>
                  <w:r>
                    <w:rPr>
                      <w:strike/>
                    </w:rPr>
                    <w:t>authorized</w:t>
                  </w:r>
                  <w:r>
                    <w:t xml:space="preserve">] by Subsection </w:t>
                  </w: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(b)</w:t>
                  </w:r>
                  <w:r>
                    <w:t>], the county el</w:t>
                  </w:r>
                  <w:r>
                    <w:t>ection officer may not prevent the county chair or the chair's designee from supervising the conduct of the primary election, including the tabulation of results, as required by Chapter 172.</w:t>
                  </w:r>
                </w:p>
                <w:p w:rsidR="007F7610" w:rsidRDefault="00F026E3" w:rsidP="000E529F">
                  <w:pPr>
                    <w:jc w:val="both"/>
                  </w:pPr>
                  <w:r>
                    <w:t xml:space="preserve">(e) 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If a</w:t>
                  </w:r>
                  <w:r>
                    <w:t>] county election officer [</w:t>
                  </w:r>
                  <w:r>
                    <w:rPr>
                      <w:strike/>
                    </w:rPr>
                    <w:t>enters into a contract wit</w:t>
                  </w:r>
                  <w:r>
                    <w:rPr>
                      <w:strike/>
                    </w:rPr>
                    <w:t>h a county executive committee under Subsection (b) to perform election services, the officer</w:t>
                  </w:r>
                  <w:r>
                    <w:t>] must offer to contract on the same terms with the county executive committee of each political party holding a primary election in the county.</w:t>
                  </w:r>
                </w:p>
              </w:tc>
              <w:tc>
                <w:tcPr>
                  <w:tcW w:w="4655" w:type="dxa"/>
                  <w:tcMar>
                    <w:left w:w="360" w:type="dxa"/>
                  </w:tcMar>
                </w:tcPr>
                <w:p w:rsidR="00CE2A81" w:rsidRDefault="00F026E3" w:rsidP="000E529F">
                  <w:pPr>
                    <w:jc w:val="both"/>
                  </w:pPr>
                  <w:r>
                    <w:lastRenderedPageBreak/>
                    <w:t>SECTION 1.  Sectio</w:t>
                  </w:r>
                  <w:r>
                    <w:t xml:space="preserve">ns 31.092(b), (d), and (e), Election Code, are transferred to </w:t>
                  </w:r>
                  <w:r>
                    <w:lastRenderedPageBreak/>
                    <w:t>Section 31.093, Election Code, redesignated as Sections 31.093(c), (d), and (e), Election Code, respectively, and amended to read as follows:</w:t>
                  </w:r>
                </w:p>
                <w:p w:rsidR="00CE2A81" w:rsidRDefault="00F026E3" w:rsidP="000E529F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(b)</w:t>
                  </w:r>
                  <w:r>
                    <w:t xml:space="preserve">]  </w:t>
                  </w:r>
                  <w:r w:rsidRPr="0068157F">
                    <w:rPr>
                      <w:highlight w:val="lightGray"/>
                      <w:u w:val="single"/>
                    </w:rPr>
                    <w:t>On request of the county chair of a polit</w:t>
                  </w:r>
                  <w:r w:rsidRPr="0068157F">
                    <w:rPr>
                      <w:highlight w:val="lightGray"/>
                      <w:u w:val="single"/>
                    </w:rPr>
                    <w:t>ical party holding a primary election in the county,</w:t>
                  </w:r>
                  <w:r>
                    <w:rPr>
                      <w:u w:val="single"/>
                    </w:rPr>
                    <w:t xml:space="preserve"> the</w:t>
                  </w:r>
                  <w:r>
                    <w:t xml:space="preserve"> [</w:t>
                  </w:r>
                  <w:r>
                    <w:rPr>
                      <w:strike/>
                    </w:rPr>
                    <w:t>The</w:t>
                  </w:r>
                  <w:r>
                    <w:t xml:space="preserve">] county election officer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 xml:space="preserve">] contract with the county executive committee of </w:t>
                  </w:r>
                  <w:r w:rsidRPr="00FE1918">
                    <w:rPr>
                      <w:u w:val="single"/>
                    </w:rPr>
                    <w:t>the</w:t>
                  </w:r>
                  <w:r w:rsidRPr="00FE1918">
                    <w:t xml:space="preserve"> [</w:t>
                  </w:r>
                  <w:r w:rsidRPr="00FE1918">
                    <w:rPr>
                      <w:strike/>
                    </w:rPr>
                    <w:t>a political</w:t>
                  </w:r>
                  <w:r w:rsidRPr="00FE1918">
                    <w:t>] party [</w:t>
                  </w:r>
                  <w:r w:rsidRPr="00FE1918">
                    <w:rPr>
                      <w:strike/>
                    </w:rPr>
                    <w:t>holding a primary election in the county</w:t>
                  </w:r>
                  <w:r w:rsidRPr="00FE1918">
                    <w:t>] to perform election services</w:t>
                  </w:r>
                  <w:r>
                    <w:t xml:space="preserve">, as provided </w:t>
                  </w:r>
                  <w:r>
                    <w:t xml:space="preserve">by this subchapter, in the party's general primary election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 xml:space="preserve">] runoff primary election </w:t>
                  </w:r>
                  <w:r>
                    <w:rPr>
                      <w:u w:val="single"/>
                    </w:rPr>
                    <w:t>in accordance with a cost schedule agreed on by the contracting parties</w:t>
                  </w:r>
                  <w:r>
                    <w:t>[</w:t>
                  </w:r>
                  <w:r>
                    <w:rPr>
                      <w:strike/>
                    </w:rPr>
                    <w:t>, or both</w:t>
                  </w:r>
                  <w:r>
                    <w:t>].</w:t>
                  </w:r>
                </w:p>
                <w:p w:rsidR="00CE2A81" w:rsidRDefault="00F026E3" w:rsidP="000E529F">
                  <w:pPr>
                    <w:jc w:val="both"/>
                  </w:pPr>
                  <w:r>
                    <w:t xml:space="preserve">(d)  In a contract </w:t>
                  </w:r>
                  <w:r>
                    <w:rPr>
                      <w:u w:val="single"/>
                    </w:rPr>
                    <w:t>required</w:t>
                  </w:r>
                  <w:r>
                    <w:t xml:space="preserve"> [</w:t>
                  </w:r>
                  <w:r>
                    <w:rPr>
                      <w:strike/>
                    </w:rPr>
                    <w:t>authorized</w:t>
                  </w:r>
                  <w:r>
                    <w:t xml:space="preserve">] by Subsection </w:t>
                  </w: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(b)</w:t>
                  </w:r>
                  <w:r>
                    <w:t xml:space="preserve">], the county </w:t>
                  </w:r>
                  <w:r>
                    <w:t>election officer may not prevent the county chair or the chair's designee from supervising the conduct of the primary election, including the tabulation of results, as required by Chapter 172.</w:t>
                  </w:r>
                </w:p>
                <w:p w:rsidR="007F7610" w:rsidRDefault="00F026E3" w:rsidP="000E529F">
                  <w:pPr>
                    <w:jc w:val="both"/>
                  </w:pPr>
                  <w:r>
                    <w:t xml:space="preserve">(e) 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If a</w:t>
                  </w:r>
                  <w:r>
                    <w:t>] county election officer [</w:t>
                  </w:r>
                  <w:r>
                    <w:rPr>
                      <w:strike/>
                    </w:rPr>
                    <w:t>enters into a contract w</w:t>
                  </w:r>
                  <w:r>
                    <w:rPr>
                      <w:strike/>
                    </w:rPr>
                    <w:t>ith a county executive committee under Subsection (b) to perform election services, the officer</w:t>
                  </w:r>
                  <w:r>
                    <w:t>] must offer to contract on the same terms with the county executive committee of each political party holding a primary election in the county.</w:t>
                  </w:r>
                </w:p>
              </w:tc>
            </w:tr>
            <w:tr w:rsidR="00682791" w:rsidTr="007F7610">
              <w:tc>
                <w:tcPr>
                  <w:tcW w:w="4691" w:type="dxa"/>
                  <w:tcMar>
                    <w:right w:w="360" w:type="dxa"/>
                  </w:tcMar>
                </w:tcPr>
                <w:p w:rsidR="007F7610" w:rsidRDefault="00F026E3" w:rsidP="000E529F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>
                    <w:t>Section 31.093(a), Election Code, is amended to read as follows:</w:t>
                  </w:r>
                </w:p>
                <w:p w:rsidR="007F7610" w:rsidRDefault="00F026E3" w:rsidP="000E529F">
                  <w:pPr>
                    <w:jc w:val="both"/>
                  </w:pPr>
                  <w:r>
                    <w:t>(a)  If requested to do so by a political subdivision [</w:t>
                  </w:r>
                  <w:r>
                    <w:rPr>
                      <w:strike/>
                    </w:rPr>
                    <w:t>or political party</w:t>
                  </w:r>
                  <w:r>
                    <w:t>], the county elections administrator shall enter into a contract to furnish the election services requested, in accor</w:t>
                  </w:r>
                  <w:r>
                    <w:t>dance with a cost schedule agreed on by the contracting parties.</w:t>
                  </w:r>
                </w:p>
              </w:tc>
              <w:tc>
                <w:tcPr>
                  <w:tcW w:w="4655" w:type="dxa"/>
                  <w:tcMar>
                    <w:left w:w="360" w:type="dxa"/>
                  </w:tcMar>
                </w:tcPr>
                <w:p w:rsidR="007F7610" w:rsidRDefault="00F026E3" w:rsidP="000E529F">
                  <w:pPr>
                    <w:jc w:val="both"/>
                  </w:pPr>
                  <w:r>
                    <w:t>SECTION 2. Same as introduced version.</w:t>
                  </w:r>
                </w:p>
                <w:p w:rsidR="007F7610" w:rsidRDefault="00F026E3" w:rsidP="000E529F">
                  <w:pPr>
                    <w:jc w:val="both"/>
                  </w:pPr>
                </w:p>
                <w:p w:rsidR="007F7610" w:rsidRDefault="00F026E3" w:rsidP="000E529F">
                  <w:pPr>
                    <w:jc w:val="both"/>
                  </w:pPr>
                </w:p>
              </w:tc>
            </w:tr>
            <w:tr w:rsidR="00682791" w:rsidTr="007F7610">
              <w:tc>
                <w:tcPr>
                  <w:tcW w:w="4691" w:type="dxa"/>
                  <w:tcMar>
                    <w:right w:w="360" w:type="dxa"/>
                  </w:tcMar>
                </w:tcPr>
                <w:p w:rsidR="007F7610" w:rsidRDefault="00F026E3" w:rsidP="000E529F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55" w:type="dxa"/>
                  <w:tcMar>
                    <w:left w:w="360" w:type="dxa"/>
                  </w:tcMar>
                </w:tcPr>
                <w:p w:rsidR="007F7610" w:rsidRDefault="00F026E3" w:rsidP="000E529F">
                  <w:pPr>
                    <w:jc w:val="both"/>
                  </w:pPr>
                  <w:r>
                    <w:t>SECTION 3. Same as introduced version.</w:t>
                  </w:r>
                </w:p>
                <w:p w:rsidR="007F7610" w:rsidRDefault="00F026E3" w:rsidP="000E529F">
                  <w:pPr>
                    <w:jc w:val="both"/>
                  </w:pPr>
                </w:p>
              </w:tc>
            </w:tr>
          </w:tbl>
          <w:p w:rsidR="007F7610" w:rsidRDefault="00F026E3" w:rsidP="000E529F"/>
          <w:p w:rsidR="007F7610" w:rsidRPr="009C1E9A" w:rsidRDefault="00F026E3" w:rsidP="000E529F">
            <w:pPr>
              <w:rPr>
                <w:b/>
                <w:u w:val="single"/>
              </w:rPr>
            </w:pPr>
          </w:p>
        </w:tc>
      </w:tr>
    </w:tbl>
    <w:p w:rsidR="008423E4" w:rsidRPr="00BE0E75" w:rsidRDefault="00F026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26E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6E3">
      <w:r>
        <w:separator/>
      </w:r>
    </w:p>
  </w:endnote>
  <w:endnote w:type="continuationSeparator" w:id="0">
    <w:p w:rsidR="00000000" w:rsidRDefault="00F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2791" w:rsidTr="009C1E9A">
      <w:trPr>
        <w:cantSplit/>
      </w:trPr>
      <w:tc>
        <w:tcPr>
          <w:tcW w:w="0" w:type="pct"/>
        </w:tcPr>
        <w:p w:rsidR="00137D90" w:rsidRDefault="00F026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26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26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26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26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791" w:rsidTr="009C1E9A">
      <w:trPr>
        <w:cantSplit/>
      </w:trPr>
      <w:tc>
        <w:tcPr>
          <w:tcW w:w="0" w:type="pct"/>
        </w:tcPr>
        <w:p w:rsidR="00EC379B" w:rsidRDefault="00F026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26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22664</w:t>
          </w:r>
        </w:p>
      </w:tc>
      <w:tc>
        <w:tcPr>
          <w:tcW w:w="2453" w:type="pct"/>
        </w:tcPr>
        <w:p w:rsidR="00EC379B" w:rsidRDefault="00F026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17.98.205</w:t>
          </w:r>
          <w:r>
            <w:fldChar w:fldCharType="end"/>
          </w:r>
        </w:p>
      </w:tc>
    </w:tr>
    <w:tr w:rsidR="00682791" w:rsidTr="009C1E9A">
      <w:trPr>
        <w:cantSplit/>
      </w:trPr>
      <w:tc>
        <w:tcPr>
          <w:tcW w:w="0" w:type="pct"/>
        </w:tcPr>
        <w:p w:rsidR="00EC379B" w:rsidRDefault="00F026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26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20069</w:t>
          </w:r>
        </w:p>
      </w:tc>
      <w:tc>
        <w:tcPr>
          <w:tcW w:w="2453" w:type="pct"/>
        </w:tcPr>
        <w:p w:rsidR="00EC379B" w:rsidRDefault="00F026E3" w:rsidP="006D504F">
          <w:pPr>
            <w:pStyle w:val="Footer"/>
            <w:rPr>
              <w:rStyle w:val="PageNumber"/>
            </w:rPr>
          </w:pPr>
        </w:p>
        <w:p w:rsidR="00EC379B" w:rsidRDefault="00F026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7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26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26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26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6E3">
      <w:r>
        <w:separator/>
      </w:r>
    </w:p>
  </w:footnote>
  <w:footnote w:type="continuationSeparator" w:id="0">
    <w:p w:rsidR="00000000" w:rsidRDefault="00F0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1"/>
    <w:rsid w:val="00682791"/>
    <w:rsid w:val="00F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67F"/>
  </w:style>
  <w:style w:type="paragraph" w:styleId="CommentSubject">
    <w:name w:val="annotation subject"/>
    <w:basedOn w:val="CommentText"/>
    <w:next w:val="CommentText"/>
    <w:link w:val="CommentSubjectChar"/>
    <w:rsid w:val="00E4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67F"/>
    <w:rPr>
      <w:b/>
      <w:bCs/>
    </w:rPr>
  </w:style>
  <w:style w:type="paragraph" w:styleId="Revision">
    <w:name w:val="Revision"/>
    <w:hidden/>
    <w:uiPriority w:val="99"/>
    <w:semiHidden/>
    <w:rsid w:val="00C92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67F"/>
  </w:style>
  <w:style w:type="paragraph" w:styleId="CommentSubject">
    <w:name w:val="annotation subject"/>
    <w:basedOn w:val="CommentText"/>
    <w:next w:val="CommentText"/>
    <w:link w:val="CommentSubjectChar"/>
    <w:rsid w:val="00E4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67F"/>
    <w:rPr>
      <w:b/>
      <w:bCs/>
    </w:rPr>
  </w:style>
  <w:style w:type="paragraph" w:styleId="Revision">
    <w:name w:val="Revision"/>
    <w:hidden/>
    <w:uiPriority w:val="99"/>
    <w:semiHidden/>
    <w:rsid w:val="00C92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4226</Characters>
  <Application>Microsoft Office Word</Application>
  <DocSecurity>4</DocSecurity>
  <Lines>136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HB01893 (Committee Report (Substituted))</vt:lpstr>
    </vt:vector>
  </TitlesOfParts>
  <Company>State of Texas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22664</dc:subject>
  <dc:creator>State of Texas</dc:creator>
  <dc:description>HB 1893 by Reynolds-(H)Elections (Substitute Document Number: 85R 20069)</dc:description>
  <cp:lastModifiedBy>Brianna Weis</cp:lastModifiedBy>
  <cp:revision>2</cp:revision>
  <cp:lastPrinted>2017-04-10T17:03:00Z</cp:lastPrinted>
  <dcterms:created xsi:type="dcterms:W3CDTF">2017-04-13T16:27:00Z</dcterms:created>
  <dcterms:modified xsi:type="dcterms:W3CDTF">2017-04-13T16:27:00Z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17.98.205</vt:lpwstr>
  </property>
</Properties>
</file>