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4E" w:rsidRDefault="002B2A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6B40D2FF014370A6DA27FB28AFE55D"/>
          </w:placeholder>
        </w:sdtPr>
        <w:sdtContent>
          <w:r w:rsidRPr="005C2A78">
            <w:rPr>
              <w:rFonts w:cs="Times New Roman"/>
              <w:b/>
              <w:szCs w:val="24"/>
              <w:u w:val="single"/>
            </w:rPr>
            <w:t>BILL ANALYSIS</w:t>
          </w:r>
        </w:sdtContent>
      </w:sdt>
    </w:p>
    <w:p w:rsidR="002B2A4E" w:rsidRPr="00585C31" w:rsidRDefault="002B2A4E" w:rsidP="000F1DF9">
      <w:pPr>
        <w:spacing w:after="0" w:line="240" w:lineRule="auto"/>
        <w:rPr>
          <w:rFonts w:cs="Times New Roman"/>
          <w:szCs w:val="24"/>
        </w:rPr>
      </w:pPr>
    </w:p>
    <w:p w:rsidR="002B2A4E" w:rsidRPr="00585C31" w:rsidRDefault="002B2A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A4E" w:rsidTr="000F1DF9">
        <w:tc>
          <w:tcPr>
            <w:tcW w:w="2718" w:type="dxa"/>
          </w:tcPr>
          <w:p w:rsidR="002B2A4E" w:rsidRPr="005C2A78" w:rsidRDefault="002B2A4E" w:rsidP="006D756B">
            <w:pPr>
              <w:rPr>
                <w:rFonts w:cs="Times New Roman"/>
                <w:szCs w:val="24"/>
              </w:rPr>
            </w:pPr>
            <w:sdt>
              <w:sdtPr>
                <w:rPr>
                  <w:rFonts w:cs="Times New Roman"/>
                  <w:szCs w:val="24"/>
                </w:rPr>
                <w:alias w:val="Agency Title"/>
                <w:tag w:val="AgencyTitleContentControl"/>
                <w:id w:val="1920747753"/>
                <w:lock w:val="sdtContentLocked"/>
                <w:placeholder>
                  <w:docPart w:val="FBE5E1499226442DA0D738BECC3D2A06"/>
                </w:placeholder>
              </w:sdtPr>
              <w:sdtEndPr>
                <w:rPr>
                  <w:rFonts w:cstheme="minorBidi"/>
                  <w:szCs w:val="22"/>
                </w:rPr>
              </w:sdtEndPr>
              <w:sdtContent>
                <w:r>
                  <w:rPr>
                    <w:rFonts w:cs="Times New Roman"/>
                    <w:szCs w:val="24"/>
                  </w:rPr>
                  <w:t>Senate Research Center</w:t>
                </w:r>
              </w:sdtContent>
            </w:sdt>
          </w:p>
        </w:tc>
        <w:tc>
          <w:tcPr>
            <w:tcW w:w="6858" w:type="dxa"/>
          </w:tcPr>
          <w:p w:rsidR="002B2A4E" w:rsidRPr="00FF6471" w:rsidRDefault="002B2A4E" w:rsidP="000F1DF9">
            <w:pPr>
              <w:jc w:val="right"/>
              <w:rPr>
                <w:rFonts w:cs="Times New Roman"/>
                <w:szCs w:val="24"/>
              </w:rPr>
            </w:pPr>
            <w:sdt>
              <w:sdtPr>
                <w:rPr>
                  <w:rFonts w:cs="Times New Roman"/>
                  <w:szCs w:val="24"/>
                </w:rPr>
                <w:alias w:val="Bill Number"/>
                <w:tag w:val="BillNumberOne"/>
                <w:id w:val="-410784069"/>
                <w:lock w:val="sdtContentLocked"/>
                <w:placeholder>
                  <w:docPart w:val="B265F47D70F74089A8A0364BB189029A"/>
                </w:placeholder>
              </w:sdtPr>
              <w:sdtContent>
                <w:r>
                  <w:rPr>
                    <w:rFonts w:cs="Times New Roman"/>
                    <w:szCs w:val="24"/>
                  </w:rPr>
                  <w:t>C.S.H.B. 1954</w:t>
                </w:r>
              </w:sdtContent>
            </w:sdt>
          </w:p>
        </w:tc>
      </w:tr>
      <w:tr w:rsidR="002B2A4E" w:rsidTr="000F1DF9">
        <w:sdt>
          <w:sdtPr>
            <w:rPr>
              <w:rFonts w:cs="Times New Roman"/>
              <w:szCs w:val="24"/>
            </w:rPr>
            <w:alias w:val="TLCNumber"/>
            <w:tag w:val="TLCNumber"/>
            <w:id w:val="-542600604"/>
            <w:lock w:val="sdtLocked"/>
            <w:placeholder>
              <w:docPart w:val="2ADD0CC8D62D4364B451E0378DA0B4AC"/>
            </w:placeholder>
          </w:sdtPr>
          <w:sdtContent>
            <w:tc>
              <w:tcPr>
                <w:tcW w:w="2718" w:type="dxa"/>
              </w:tcPr>
              <w:p w:rsidR="002B2A4E" w:rsidRPr="000F1DF9" w:rsidRDefault="002B2A4E" w:rsidP="00EF1F66">
                <w:pPr>
                  <w:rPr>
                    <w:rFonts w:cs="Times New Roman"/>
                    <w:szCs w:val="24"/>
                  </w:rPr>
                </w:pPr>
                <w:r>
                  <w:rPr>
                    <w:rFonts w:cs="Times New Roman"/>
                    <w:szCs w:val="24"/>
                  </w:rPr>
                  <w:t>85R29463 MTB-D</w:t>
                </w:r>
              </w:p>
            </w:tc>
          </w:sdtContent>
        </w:sdt>
        <w:tc>
          <w:tcPr>
            <w:tcW w:w="6858" w:type="dxa"/>
          </w:tcPr>
          <w:p w:rsidR="002B2A4E" w:rsidRPr="005C2A78" w:rsidRDefault="002B2A4E" w:rsidP="006D756B">
            <w:pPr>
              <w:jc w:val="right"/>
              <w:rPr>
                <w:rFonts w:cs="Times New Roman"/>
                <w:szCs w:val="24"/>
              </w:rPr>
            </w:pPr>
            <w:sdt>
              <w:sdtPr>
                <w:rPr>
                  <w:rFonts w:cs="Times New Roman"/>
                  <w:szCs w:val="24"/>
                </w:rPr>
                <w:alias w:val="Author Label"/>
                <w:tag w:val="By"/>
                <w:id w:val="72399597"/>
                <w:lock w:val="sdtLocked"/>
                <w:placeholder>
                  <w:docPart w:val="04868241065D48839BE471BE1127BD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139B24C86240498BF4CC040FE9C3E5"/>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48CC4CE69BA044A794AA16738CE8C0F9"/>
                </w:placeholder>
              </w:sdtPr>
              <w:sdtContent>
                <w:r>
                  <w:rPr>
                    <w:rFonts w:cs="Times New Roman"/>
                    <w:szCs w:val="24"/>
                  </w:rPr>
                  <w:t xml:space="preserve"> (Nichols)</w:t>
                </w:r>
              </w:sdtContent>
            </w:sdt>
          </w:p>
        </w:tc>
      </w:tr>
      <w:tr w:rsidR="002B2A4E" w:rsidTr="000F1DF9">
        <w:tc>
          <w:tcPr>
            <w:tcW w:w="2718" w:type="dxa"/>
          </w:tcPr>
          <w:p w:rsidR="002B2A4E" w:rsidRPr="00BC7495" w:rsidRDefault="002B2A4E" w:rsidP="000F1DF9">
            <w:pPr>
              <w:rPr>
                <w:rFonts w:cs="Times New Roman"/>
                <w:szCs w:val="24"/>
              </w:rPr>
            </w:pPr>
          </w:p>
        </w:tc>
        <w:sdt>
          <w:sdtPr>
            <w:rPr>
              <w:rFonts w:cs="Times New Roman"/>
              <w:szCs w:val="24"/>
            </w:rPr>
            <w:alias w:val="Committee"/>
            <w:tag w:val="Committee"/>
            <w:id w:val="1914272295"/>
            <w:lock w:val="sdtContentLocked"/>
            <w:placeholder>
              <w:docPart w:val="074391EB721F444F8F63F6DD7F982C01"/>
            </w:placeholder>
          </w:sdtPr>
          <w:sdtContent>
            <w:tc>
              <w:tcPr>
                <w:tcW w:w="6858" w:type="dxa"/>
              </w:tcPr>
              <w:p w:rsidR="002B2A4E" w:rsidRPr="00FF6471" w:rsidRDefault="002B2A4E" w:rsidP="000F1DF9">
                <w:pPr>
                  <w:jc w:val="right"/>
                  <w:rPr>
                    <w:rFonts w:cs="Times New Roman"/>
                    <w:szCs w:val="24"/>
                  </w:rPr>
                </w:pPr>
                <w:r>
                  <w:rPr>
                    <w:rFonts w:cs="Times New Roman"/>
                    <w:szCs w:val="24"/>
                  </w:rPr>
                  <w:t>Business &amp; Commerce</w:t>
                </w:r>
              </w:p>
            </w:tc>
          </w:sdtContent>
        </w:sdt>
      </w:tr>
      <w:tr w:rsidR="002B2A4E" w:rsidTr="000F1DF9">
        <w:tc>
          <w:tcPr>
            <w:tcW w:w="2718" w:type="dxa"/>
          </w:tcPr>
          <w:p w:rsidR="002B2A4E" w:rsidRPr="00BC7495" w:rsidRDefault="002B2A4E" w:rsidP="000F1DF9">
            <w:pPr>
              <w:rPr>
                <w:rFonts w:cs="Times New Roman"/>
                <w:szCs w:val="24"/>
              </w:rPr>
            </w:pPr>
          </w:p>
        </w:tc>
        <w:sdt>
          <w:sdtPr>
            <w:rPr>
              <w:rFonts w:cs="Times New Roman"/>
              <w:szCs w:val="24"/>
            </w:rPr>
            <w:alias w:val="Date"/>
            <w:tag w:val="DateContentControl"/>
            <w:id w:val="1178081906"/>
            <w:lock w:val="sdtLocked"/>
            <w:placeholder>
              <w:docPart w:val="6B550B6191244984A32149C156D258E1"/>
            </w:placeholder>
            <w:date w:fullDate="2017-05-18T00:00:00Z">
              <w:dateFormat w:val="M/d/yyyy"/>
              <w:lid w:val="en-US"/>
              <w:storeMappedDataAs w:val="dateTime"/>
              <w:calendar w:val="gregorian"/>
            </w:date>
          </w:sdtPr>
          <w:sdtContent>
            <w:tc>
              <w:tcPr>
                <w:tcW w:w="6858" w:type="dxa"/>
              </w:tcPr>
              <w:p w:rsidR="002B2A4E" w:rsidRPr="00FF6471" w:rsidRDefault="002B2A4E" w:rsidP="000F1DF9">
                <w:pPr>
                  <w:jc w:val="right"/>
                  <w:rPr>
                    <w:rFonts w:cs="Times New Roman"/>
                    <w:szCs w:val="24"/>
                  </w:rPr>
                </w:pPr>
                <w:r>
                  <w:rPr>
                    <w:rFonts w:cs="Times New Roman"/>
                    <w:szCs w:val="24"/>
                  </w:rPr>
                  <w:t>5/18/2017</w:t>
                </w:r>
              </w:p>
            </w:tc>
          </w:sdtContent>
        </w:sdt>
      </w:tr>
      <w:tr w:rsidR="002B2A4E" w:rsidTr="000F1DF9">
        <w:tc>
          <w:tcPr>
            <w:tcW w:w="2718" w:type="dxa"/>
          </w:tcPr>
          <w:p w:rsidR="002B2A4E" w:rsidRPr="00BC7495" w:rsidRDefault="002B2A4E" w:rsidP="000F1DF9">
            <w:pPr>
              <w:rPr>
                <w:rFonts w:cs="Times New Roman"/>
                <w:szCs w:val="24"/>
              </w:rPr>
            </w:pPr>
          </w:p>
        </w:tc>
        <w:sdt>
          <w:sdtPr>
            <w:rPr>
              <w:rFonts w:cs="Times New Roman"/>
              <w:szCs w:val="24"/>
            </w:rPr>
            <w:alias w:val="BA Version"/>
            <w:tag w:val="BAVersion"/>
            <w:id w:val="-1685590809"/>
            <w:lock w:val="sdtContentLocked"/>
            <w:placeholder>
              <w:docPart w:val="1803AEA7584E4C468592FA07BB4AB74D"/>
            </w:placeholder>
          </w:sdtPr>
          <w:sdtContent>
            <w:tc>
              <w:tcPr>
                <w:tcW w:w="6858" w:type="dxa"/>
              </w:tcPr>
              <w:p w:rsidR="002B2A4E" w:rsidRPr="00FF6471" w:rsidRDefault="002B2A4E" w:rsidP="000F1DF9">
                <w:pPr>
                  <w:jc w:val="right"/>
                  <w:rPr>
                    <w:rFonts w:cs="Times New Roman"/>
                    <w:szCs w:val="24"/>
                  </w:rPr>
                </w:pPr>
                <w:r>
                  <w:rPr>
                    <w:rFonts w:cs="Times New Roman"/>
                    <w:szCs w:val="24"/>
                  </w:rPr>
                  <w:t>Committee Report (Substituted)</w:t>
                </w:r>
              </w:p>
            </w:tc>
          </w:sdtContent>
        </w:sdt>
      </w:tr>
    </w:tbl>
    <w:p w:rsidR="002B2A4E" w:rsidRPr="00FF6471" w:rsidRDefault="002B2A4E" w:rsidP="000F1DF9">
      <w:pPr>
        <w:spacing w:after="0" w:line="240" w:lineRule="auto"/>
        <w:rPr>
          <w:rFonts w:cs="Times New Roman"/>
          <w:szCs w:val="24"/>
        </w:rPr>
      </w:pPr>
    </w:p>
    <w:p w:rsidR="002B2A4E" w:rsidRPr="00FF6471" w:rsidRDefault="002B2A4E" w:rsidP="000F1DF9">
      <w:pPr>
        <w:spacing w:after="0" w:line="240" w:lineRule="auto"/>
        <w:rPr>
          <w:rFonts w:cs="Times New Roman"/>
          <w:szCs w:val="24"/>
        </w:rPr>
      </w:pPr>
    </w:p>
    <w:p w:rsidR="002B2A4E" w:rsidRPr="00FF6471" w:rsidRDefault="002B2A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DCF3C25B54479D8F83A51D4EB534E9"/>
        </w:placeholder>
      </w:sdtPr>
      <w:sdtContent>
        <w:p w:rsidR="002B2A4E" w:rsidRDefault="002B2A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65979CDE8F4DE28018BAB1F58BBA91"/>
        </w:placeholder>
      </w:sdtPr>
      <w:sdtContent>
        <w:p w:rsidR="002B2A4E" w:rsidRDefault="002B2A4E" w:rsidP="00EF1F66">
          <w:pPr>
            <w:pStyle w:val="NormalWeb"/>
            <w:spacing w:before="0" w:beforeAutospacing="0" w:after="0" w:afterAutospacing="0"/>
            <w:jc w:val="both"/>
            <w:divId w:val="1818037109"/>
            <w:rPr>
              <w:rFonts w:eastAsia="Times New Roman" w:cstheme="minorBidi"/>
              <w:bCs/>
              <w:szCs w:val="22"/>
            </w:rPr>
          </w:pPr>
        </w:p>
        <w:p w:rsidR="002B2A4E" w:rsidRPr="00EF1F66" w:rsidRDefault="002B2A4E" w:rsidP="00EF1F66">
          <w:pPr>
            <w:pStyle w:val="NormalWeb"/>
            <w:spacing w:before="0" w:beforeAutospacing="0" w:after="0" w:afterAutospacing="0"/>
            <w:jc w:val="both"/>
            <w:divId w:val="1818037109"/>
          </w:pPr>
          <w:r w:rsidRPr="00EF1F66">
            <w:t>The Texas Estates Code includes references to two account types that are generally no longer used by financial institutions:</w:t>
          </w:r>
        </w:p>
        <w:p w:rsidR="002B2A4E" w:rsidRPr="00EF1F66" w:rsidRDefault="002B2A4E" w:rsidP="00EF1F66">
          <w:pPr>
            <w:pStyle w:val="NormalWeb"/>
            <w:spacing w:before="0" w:beforeAutospacing="0" w:after="0" w:afterAutospacing="0"/>
            <w:jc w:val="both"/>
            <w:divId w:val="1818037109"/>
          </w:pPr>
          <w:r w:rsidRPr="00EF1F66">
            <w:t> </w:t>
          </w:r>
        </w:p>
        <w:p w:rsidR="002B2A4E" w:rsidRPr="00EF1F66" w:rsidRDefault="002B2A4E" w:rsidP="00251BE1">
          <w:pPr>
            <w:numPr>
              <w:ilvl w:val="0"/>
              <w:numId w:val="1"/>
            </w:numPr>
            <w:spacing w:after="0" w:line="240" w:lineRule="auto"/>
            <w:jc w:val="both"/>
            <w:divId w:val="1818037109"/>
            <w:rPr>
              <w:rFonts w:eastAsia="Times New Roman"/>
            </w:rPr>
          </w:pPr>
          <w:r w:rsidRPr="00EF1F66">
            <w:rPr>
              <w:rFonts w:eastAsia="Times New Roman"/>
            </w:rPr>
            <w:t>The "trust accounts" referenced in current law are not used to set up a formal trust, but rather are another way to establish "pay on death" beneficiaries (POD). Thus, a POD account currently offered by financial institutions adequately serves the purpose of a trust account.</w:t>
          </w:r>
        </w:p>
        <w:p w:rsidR="002B2A4E" w:rsidRPr="00EF1F66" w:rsidRDefault="002B2A4E" w:rsidP="00EF1F66">
          <w:pPr>
            <w:pStyle w:val="NormalWeb"/>
            <w:spacing w:before="0" w:beforeAutospacing="0" w:after="0" w:afterAutospacing="0"/>
            <w:ind w:left="720"/>
            <w:jc w:val="both"/>
            <w:divId w:val="1818037109"/>
          </w:pPr>
          <w:r w:rsidRPr="00EF1F66">
            <w:t> </w:t>
          </w:r>
        </w:p>
        <w:p w:rsidR="002B2A4E" w:rsidRPr="00EF1F66" w:rsidRDefault="002B2A4E" w:rsidP="00251BE1">
          <w:pPr>
            <w:numPr>
              <w:ilvl w:val="0"/>
              <w:numId w:val="2"/>
            </w:numPr>
            <w:spacing w:after="0" w:line="240" w:lineRule="auto"/>
            <w:jc w:val="both"/>
            <w:divId w:val="1818037109"/>
            <w:rPr>
              <w:rFonts w:eastAsia="Times New Roman"/>
            </w:rPr>
          </w:pPr>
          <w:r w:rsidRPr="00EF1F66">
            <w:rPr>
              <w:rFonts w:eastAsia="Times New Roman"/>
            </w:rPr>
            <w:t>A "convenience account" referenced in current law provides a way of permitting accounts to have authorized signers who are not owners of the account. This type of account was necessary before the law changed in 2009 to allow "convenience signers" on any type of account, but is no longer necessary.</w:t>
          </w:r>
        </w:p>
        <w:p w:rsidR="002B2A4E" w:rsidRPr="00EF1F66" w:rsidRDefault="002B2A4E" w:rsidP="00EF1F66">
          <w:pPr>
            <w:pStyle w:val="NormalWeb"/>
            <w:spacing w:before="0" w:beforeAutospacing="0" w:after="0" w:afterAutospacing="0"/>
            <w:jc w:val="both"/>
            <w:divId w:val="1818037109"/>
          </w:pPr>
          <w:r w:rsidRPr="00EF1F66">
            <w:t> </w:t>
          </w:r>
        </w:p>
        <w:p w:rsidR="002B2A4E" w:rsidRPr="00EF1F66" w:rsidRDefault="002B2A4E" w:rsidP="00EF1F66">
          <w:pPr>
            <w:pStyle w:val="NormalWeb"/>
            <w:spacing w:before="0" w:beforeAutospacing="0" w:after="0" w:afterAutospacing="0"/>
            <w:jc w:val="both"/>
            <w:divId w:val="1818037109"/>
          </w:pPr>
          <w:r w:rsidRPr="00EF1F66">
            <w:t>H.B. 1954 eliminates "trust" and "convenience" accounts in the Estates Code, as the functions of both are adequately covered by other types of accounts offered by financial institutions. The bill includes clear transitional language so that existing trust and convenience accounts will be properly protected. This change will eliminate redundancy in the law and avoid confusion for bankers and the public. (Original author's / Sponsor's Statement of Intent) </w:t>
          </w:r>
        </w:p>
        <w:p w:rsidR="002B2A4E" w:rsidRPr="00D70925" w:rsidRDefault="002B2A4E" w:rsidP="00EF1F66">
          <w:pPr>
            <w:spacing w:after="0" w:line="240" w:lineRule="auto"/>
            <w:jc w:val="both"/>
            <w:rPr>
              <w:rFonts w:eastAsia="Times New Roman" w:cs="Times New Roman"/>
              <w:bCs/>
              <w:szCs w:val="24"/>
            </w:rPr>
          </w:pPr>
        </w:p>
      </w:sdtContent>
    </w:sdt>
    <w:p w:rsidR="002B2A4E" w:rsidRDefault="002B2A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1954 </w:t>
      </w:r>
      <w:bookmarkStart w:id="1" w:name="AmendsCurrentLaw"/>
      <w:bookmarkEnd w:id="1"/>
      <w:r>
        <w:rPr>
          <w:rFonts w:cs="Times New Roman"/>
          <w:szCs w:val="24"/>
        </w:rPr>
        <w:t>amends current law relating to certain accounts established at financial institutions, including disclosures related to those accounts.</w:t>
      </w:r>
    </w:p>
    <w:p w:rsidR="002B2A4E" w:rsidRPr="00A45C51" w:rsidRDefault="002B2A4E" w:rsidP="000F1DF9">
      <w:pPr>
        <w:spacing w:after="0" w:line="240" w:lineRule="auto"/>
        <w:jc w:val="both"/>
        <w:rPr>
          <w:rFonts w:eastAsia="Times New Roman" w:cs="Times New Roman"/>
          <w:szCs w:val="24"/>
        </w:rPr>
      </w:pPr>
    </w:p>
    <w:p w:rsidR="002B2A4E" w:rsidRPr="005C2A78" w:rsidRDefault="002B2A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6AB56E33B44BEDA74E0C61DAA45469"/>
          </w:placeholder>
        </w:sdtPr>
        <w:sdtContent>
          <w:r>
            <w:rPr>
              <w:rFonts w:eastAsia="Times New Roman" w:cs="Times New Roman"/>
              <w:b/>
              <w:szCs w:val="24"/>
              <w:u w:val="single"/>
            </w:rPr>
            <w:t>RULEMAKING AUTHORITY</w:t>
          </w:r>
        </w:sdtContent>
      </w:sdt>
    </w:p>
    <w:p w:rsidR="002B2A4E" w:rsidRPr="006529C4" w:rsidRDefault="002B2A4E" w:rsidP="00774EC7">
      <w:pPr>
        <w:spacing w:after="0" w:line="240" w:lineRule="auto"/>
        <w:jc w:val="both"/>
        <w:rPr>
          <w:rFonts w:cs="Times New Roman"/>
          <w:szCs w:val="24"/>
        </w:rPr>
      </w:pPr>
    </w:p>
    <w:p w:rsidR="002B2A4E" w:rsidRPr="006529C4" w:rsidRDefault="002B2A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A4E" w:rsidRPr="006529C4" w:rsidRDefault="002B2A4E" w:rsidP="00774EC7">
      <w:pPr>
        <w:spacing w:after="0" w:line="240" w:lineRule="auto"/>
        <w:jc w:val="both"/>
        <w:rPr>
          <w:rFonts w:cs="Times New Roman"/>
          <w:szCs w:val="24"/>
        </w:rPr>
      </w:pPr>
    </w:p>
    <w:p w:rsidR="002B2A4E" w:rsidRPr="005C2A78" w:rsidRDefault="002B2A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3067BE4597465D862C7F15CE0266D6"/>
          </w:placeholder>
        </w:sdtPr>
        <w:sdtContent>
          <w:r>
            <w:rPr>
              <w:rFonts w:eastAsia="Times New Roman" w:cs="Times New Roman"/>
              <w:b/>
              <w:szCs w:val="24"/>
              <w:u w:val="single"/>
            </w:rPr>
            <w:t>SECTION BY SECTION ANALYSIS</w:t>
          </w:r>
        </w:sdtContent>
      </w:sdt>
    </w:p>
    <w:p w:rsidR="002B2A4E" w:rsidRPr="005C2A78" w:rsidRDefault="002B2A4E" w:rsidP="000F1DF9">
      <w:pPr>
        <w:spacing w:after="0" w:line="240" w:lineRule="auto"/>
        <w:jc w:val="both"/>
        <w:rPr>
          <w:rFonts w:eastAsia="Times New Roman" w:cs="Times New Roman"/>
          <w:szCs w:val="24"/>
        </w:rPr>
      </w:pPr>
    </w:p>
    <w:p w:rsidR="002B2A4E" w:rsidRDefault="002B2A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113.002, Estates Code, as follows:</w:t>
      </w:r>
    </w:p>
    <w:p w:rsidR="002B2A4E" w:rsidRDefault="002B2A4E" w:rsidP="000F1DF9">
      <w:pPr>
        <w:spacing w:after="0" w:line="240" w:lineRule="auto"/>
        <w:jc w:val="both"/>
        <w:rPr>
          <w:rFonts w:eastAsia="Times New Roman" w:cs="Times New Roman"/>
          <w:szCs w:val="24"/>
        </w:rPr>
      </w:pPr>
    </w:p>
    <w:p w:rsidR="002B2A4E" w:rsidRDefault="002B2A4E" w:rsidP="00A45C51">
      <w:pPr>
        <w:spacing w:after="0" w:line="240" w:lineRule="auto"/>
        <w:ind w:left="720"/>
        <w:jc w:val="both"/>
        <w:rPr>
          <w:rFonts w:eastAsia="Times New Roman" w:cs="Times New Roman"/>
          <w:szCs w:val="24"/>
        </w:rPr>
      </w:pPr>
      <w:r>
        <w:rPr>
          <w:rFonts w:eastAsia="Times New Roman" w:cs="Times New Roman"/>
          <w:szCs w:val="24"/>
        </w:rPr>
        <w:t xml:space="preserve">Sec. 113.002. DEFINITION OF PARTY. (a) Deletes existing text providing that "party" includes </w:t>
      </w:r>
      <w:r w:rsidRPr="00A45C51">
        <w:rPr>
          <w:rFonts w:eastAsia="Times New Roman" w:cs="Times New Roman"/>
          <w:szCs w:val="24"/>
        </w:rPr>
        <w:t>a person identified as a trustee of an account for another regardless of w</w:t>
      </w:r>
      <w:r>
        <w:rPr>
          <w:rFonts w:eastAsia="Times New Roman" w:cs="Times New Roman"/>
          <w:szCs w:val="24"/>
        </w:rPr>
        <w:t>hether a beneficiary is named and providing that "party"</w:t>
      </w:r>
      <w:r w:rsidRPr="00A45C51">
        <w:rPr>
          <w:rFonts w:eastAsia="Times New Roman" w:cs="Times New Roman"/>
          <w:szCs w:val="24"/>
        </w:rPr>
        <w:t xml:space="preserve"> does not include a named beneficiary unless the beneficiary has a present right of withdrawal.</w:t>
      </w:r>
    </w:p>
    <w:p w:rsidR="002B2A4E" w:rsidRDefault="002B2A4E" w:rsidP="00A45C51">
      <w:pPr>
        <w:spacing w:after="0" w:line="240" w:lineRule="auto"/>
        <w:ind w:left="720"/>
        <w:jc w:val="both"/>
        <w:rPr>
          <w:rFonts w:eastAsia="Times New Roman" w:cs="Times New Roman"/>
          <w:szCs w:val="24"/>
        </w:rPr>
      </w:pPr>
    </w:p>
    <w:p w:rsidR="002B2A4E" w:rsidRDefault="002B2A4E" w:rsidP="002A2155">
      <w:pPr>
        <w:spacing w:after="0" w:line="240" w:lineRule="auto"/>
        <w:ind w:left="1440"/>
        <w:jc w:val="both"/>
        <w:rPr>
          <w:rFonts w:eastAsia="Times New Roman" w:cs="Times New Roman"/>
          <w:szCs w:val="24"/>
        </w:rPr>
      </w:pPr>
      <w:r>
        <w:rPr>
          <w:rFonts w:eastAsia="Times New Roman" w:cs="Times New Roman"/>
          <w:szCs w:val="24"/>
        </w:rPr>
        <w:t>(b) Deletes a beneficiary of a trust account from payees to whom this subsection applies.</w:t>
      </w:r>
    </w:p>
    <w:p w:rsidR="002B2A4E" w:rsidRPr="005C2A78" w:rsidRDefault="002B2A4E" w:rsidP="00A45C51">
      <w:pPr>
        <w:spacing w:after="0" w:line="240" w:lineRule="auto"/>
        <w:ind w:left="720"/>
        <w:jc w:val="both"/>
        <w:rPr>
          <w:rFonts w:eastAsia="Times New Roman" w:cs="Times New Roman"/>
          <w:szCs w:val="24"/>
        </w:rPr>
      </w:pPr>
    </w:p>
    <w:p w:rsidR="002B2A4E" w:rsidRDefault="002B2A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113.004, Estates Code, as follows:</w:t>
      </w:r>
    </w:p>
    <w:p w:rsidR="002B2A4E" w:rsidRDefault="002B2A4E" w:rsidP="000F1DF9">
      <w:pPr>
        <w:spacing w:after="0" w:line="240" w:lineRule="auto"/>
        <w:jc w:val="both"/>
        <w:rPr>
          <w:rFonts w:eastAsia="Times New Roman" w:cs="Times New Roman"/>
          <w:szCs w:val="24"/>
        </w:rPr>
      </w:pPr>
    </w:p>
    <w:p w:rsidR="002B2A4E" w:rsidRDefault="002B2A4E" w:rsidP="00A45C51">
      <w:pPr>
        <w:spacing w:after="0" w:line="240" w:lineRule="auto"/>
        <w:ind w:left="720"/>
        <w:jc w:val="both"/>
        <w:rPr>
          <w:rFonts w:eastAsia="Times New Roman" w:cs="Times New Roman"/>
          <w:szCs w:val="24"/>
        </w:rPr>
      </w:pPr>
      <w:r>
        <w:rPr>
          <w:rFonts w:eastAsia="Times New Roman" w:cs="Times New Roman"/>
          <w:szCs w:val="24"/>
        </w:rPr>
        <w:t>Sec. 113.004. TYPES OF ACCOUNTS. Provides that in this chapter (Multiple-Party Accounts):</w:t>
      </w:r>
    </w:p>
    <w:p w:rsidR="002B2A4E" w:rsidRDefault="002B2A4E" w:rsidP="00A45C51">
      <w:pPr>
        <w:spacing w:after="0" w:line="240" w:lineRule="auto"/>
        <w:ind w:left="720"/>
        <w:jc w:val="both"/>
        <w:rPr>
          <w:rFonts w:eastAsia="Times New Roman" w:cs="Times New Roman"/>
          <w:szCs w:val="24"/>
        </w:rPr>
      </w:pPr>
    </w:p>
    <w:p w:rsidR="002B2A4E" w:rsidRDefault="002B2A4E" w:rsidP="00A45C51">
      <w:pPr>
        <w:spacing w:after="0" w:line="240" w:lineRule="auto"/>
        <w:ind w:left="1440"/>
        <w:jc w:val="both"/>
        <w:rPr>
          <w:rFonts w:eastAsia="Times New Roman" w:cs="Times New Roman"/>
          <w:szCs w:val="24"/>
        </w:rPr>
      </w:pPr>
      <w:r>
        <w:rPr>
          <w:rFonts w:eastAsia="Times New Roman" w:cs="Times New Roman"/>
          <w:szCs w:val="24"/>
        </w:rPr>
        <w:t>(1) Deletes existing text relating to the definition of "convenience account." Redesignates existing Subdivision (2) as Subdivision (1).</w:t>
      </w:r>
    </w:p>
    <w:p w:rsidR="002B2A4E" w:rsidRDefault="002B2A4E" w:rsidP="00A45C51">
      <w:pPr>
        <w:spacing w:after="0" w:line="240" w:lineRule="auto"/>
        <w:ind w:left="1440"/>
        <w:jc w:val="both"/>
        <w:rPr>
          <w:rFonts w:eastAsia="Times New Roman" w:cs="Times New Roman"/>
          <w:szCs w:val="24"/>
        </w:rPr>
      </w:pPr>
    </w:p>
    <w:p w:rsidR="002B2A4E" w:rsidRDefault="002B2A4E" w:rsidP="00A45C51">
      <w:pPr>
        <w:spacing w:after="0" w:line="240" w:lineRule="auto"/>
        <w:ind w:left="1440"/>
        <w:jc w:val="both"/>
        <w:rPr>
          <w:rFonts w:eastAsia="Times New Roman" w:cs="Times New Roman"/>
          <w:szCs w:val="24"/>
        </w:rPr>
      </w:pPr>
      <w:r>
        <w:rPr>
          <w:rFonts w:eastAsia="Times New Roman" w:cs="Times New Roman"/>
          <w:szCs w:val="24"/>
        </w:rPr>
        <w:t>(2) Redefines "multiple-party account." Redesignates Subdivision (3) as Subdivision (2).</w:t>
      </w:r>
    </w:p>
    <w:p w:rsidR="002B2A4E" w:rsidRDefault="002B2A4E" w:rsidP="00A45C51">
      <w:pPr>
        <w:spacing w:after="0" w:line="240" w:lineRule="auto"/>
        <w:ind w:left="1440"/>
        <w:jc w:val="both"/>
        <w:rPr>
          <w:rFonts w:eastAsia="Times New Roman" w:cs="Times New Roman"/>
          <w:szCs w:val="24"/>
        </w:rPr>
      </w:pPr>
    </w:p>
    <w:p w:rsidR="002B2A4E" w:rsidRDefault="002B2A4E" w:rsidP="00A45C51">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 Deletes Subdivision (5) relating to the definition of "trust account."</w:t>
      </w:r>
    </w:p>
    <w:p w:rsidR="002B2A4E" w:rsidRPr="005C2A78" w:rsidRDefault="002B2A4E" w:rsidP="000F1DF9">
      <w:pPr>
        <w:spacing w:after="0" w:line="240" w:lineRule="auto"/>
        <w:jc w:val="both"/>
        <w:rPr>
          <w:rFonts w:eastAsia="Times New Roman" w:cs="Times New Roman"/>
          <w:szCs w:val="24"/>
        </w:rPr>
      </w:pPr>
    </w:p>
    <w:p w:rsidR="002B2A4E" w:rsidRDefault="002B2A4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113.052, Estates Code, as follows:</w:t>
      </w:r>
    </w:p>
    <w:p w:rsidR="002B2A4E" w:rsidRDefault="002B2A4E" w:rsidP="000F1DF9">
      <w:pPr>
        <w:spacing w:after="0" w:line="240" w:lineRule="auto"/>
        <w:jc w:val="both"/>
        <w:rPr>
          <w:rFonts w:eastAsia="Times New Roman" w:cs="Times New Roman"/>
          <w:szCs w:val="24"/>
        </w:rPr>
      </w:pPr>
    </w:p>
    <w:p w:rsidR="002B2A4E" w:rsidRDefault="002B2A4E" w:rsidP="00A45C51">
      <w:pPr>
        <w:spacing w:after="0" w:line="240" w:lineRule="auto"/>
        <w:ind w:left="720"/>
        <w:jc w:val="both"/>
        <w:rPr>
          <w:rFonts w:eastAsia="Times New Roman" w:cs="Times New Roman"/>
          <w:szCs w:val="24"/>
        </w:rPr>
      </w:pPr>
      <w:r w:rsidRPr="00A45C51">
        <w:rPr>
          <w:rFonts w:eastAsia="Times New Roman" w:cs="Times New Roman"/>
          <w:szCs w:val="24"/>
        </w:rPr>
        <w:t>Sec. 113.052.  FORM.  A</w:t>
      </w:r>
      <w:r>
        <w:rPr>
          <w:rFonts w:eastAsia="Times New Roman" w:cs="Times New Roman"/>
          <w:szCs w:val="24"/>
        </w:rPr>
        <w:t>uthorizes a</w:t>
      </w:r>
      <w:r w:rsidRPr="00A45C51">
        <w:rPr>
          <w:rFonts w:eastAsia="Times New Roman" w:cs="Times New Roman"/>
          <w:szCs w:val="24"/>
        </w:rPr>
        <w:t xml:space="preserve"> financial institution </w:t>
      </w:r>
      <w:r>
        <w:rPr>
          <w:rFonts w:eastAsia="Times New Roman" w:cs="Times New Roman"/>
          <w:szCs w:val="24"/>
        </w:rPr>
        <w:t>to</w:t>
      </w:r>
      <w:r w:rsidRPr="00A45C51">
        <w:rPr>
          <w:rFonts w:eastAsia="Times New Roman" w:cs="Times New Roman"/>
          <w:szCs w:val="24"/>
        </w:rPr>
        <w:t xml:space="preserve"> use </w:t>
      </w:r>
      <w:r>
        <w:rPr>
          <w:rFonts w:eastAsia="Times New Roman" w:cs="Times New Roman"/>
          <w:szCs w:val="24"/>
        </w:rPr>
        <w:t>a certain</w:t>
      </w:r>
      <w:r w:rsidRPr="00A45C51">
        <w:rPr>
          <w:rFonts w:eastAsia="Times New Roman" w:cs="Times New Roman"/>
          <w:szCs w:val="24"/>
        </w:rPr>
        <w:t xml:space="preserve"> form to establish the type of account selected by a party</w:t>
      </w:r>
      <w:r>
        <w:rPr>
          <w:rFonts w:eastAsia="Times New Roman" w:cs="Times New Roman"/>
          <w:szCs w:val="24"/>
        </w:rPr>
        <w:t xml:space="preserve">. Amends the language of the form to provide that a person may choose to designate one or more convenience signers on an account, rather than on an account even if the account is not a convenience account. Includes an acknowledgement statement. Deletes existing text providing that the designated convenience signer owns the account on the person's death only if the convenience signer is also designated as a trust account beneficiary. Deletes convenience accounts and trust accounts from accounts which a person can select. </w:t>
      </w:r>
    </w:p>
    <w:p w:rsidR="002B2A4E" w:rsidRDefault="002B2A4E" w:rsidP="00A45C51">
      <w:pPr>
        <w:spacing w:after="0" w:line="240" w:lineRule="auto"/>
        <w:ind w:left="720"/>
        <w:jc w:val="both"/>
        <w:rPr>
          <w:rFonts w:eastAsia="Times New Roman" w:cs="Times New Roman"/>
          <w:szCs w:val="24"/>
        </w:rPr>
      </w:pPr>
    </w:p>
    <w:p w:rsidR="002B2A4E" w:rsidRDefault="002B2A4E" w:rsidP="008346FD">
      <w:pPr>
        <w:spacing w:after="0" w:line="240" w:lineRule="auto"/>
        <w:jc w:val="both"/>
        <w:rPr>
          <w:rFonts w:eastAsia="Times New Roman" w:cs="Times New Roman"/>
          <w:szCs w:val="24"/>
        </w:rPr>
      </w:pPr>
      <w:r>
        <w:rPr>
          <w:rFonts w:eastAsia="Times New Roman" w:cs="Times New Roman"/>
          <w:szCs w:val="24"/>
        </w:rPr>
        <w:t>SECTION 4. Amends Section 113.053, Estates Code, as follows:</w:t>
      </w:r>
    </w:p>
    <w:p w:rsidR="002B2A4E" w:rsidRDefault="002B2A4E" w:rsidP="008346FD">
      <w:pPr>
        <w:spacing w:after="0" w:line="240" w:lineRule="auto"/>
        <w:jc w:val="both"/>
        <w:rPr>
          <w:rFonts w:eastAsia="Times New Roman" w:cs="Times New Roman"/>
          <w:szCs w:val="24"/>
        </w:rPr>
      </w:pPr>
    </w:p>
    <w:p w:rsidR="002B2A4E" w:rsidRDefault="002B2A4E" w:rsidP="00EF1F66">
      <w:pPr>
        <w:spacing w:after="0" w:line="240" w:lineRule="auto"/>
        <w:ind w:left="720"/>
        <w:jc w:val="both"/>
        <w:rPr>
          <w:rFonts w:eastAsia="Times New Roman" w:cs="Times New Roman"/>
          <w:szCs w:val="24"/>
        </w:rPr>
      </w:pPr>
      <w:r>
        <w:rPr>
          <w:rFonts w:eastAsia="Times New Roman" w:cs="Times New Roman"/>
          <w:szCs w:val="24"/>
        </w:rPr>
        <w:t>Sec. 113.053. REQUIRES DISCLOSURE; USE OF FORM. (a) Creates an exception under Subsection (d). Requires a financial institution to disclose the information provided in this subchapter to a customer before, rather than at the time, the customer selects or modifies an account.</w:t>
      </w:r>
    </w:p>
    <w:p w:rsidR="002B2A4E" w:rsidRDefault="002B2A4E" w:rsidP="00EF1F66">
      <w:pPr>
        <w:spacing w:after="0" w:line="240" w:lineRule="auto"/>
        <w:ind w:left="720"/>
        <w:jc w:val="both"/>
        <w:rPr>
          <w:rFonts w:eastAsia="Times New Roman" w:cs="Times New Roman"/>
          <w:szCs w:val="24"/>
        </w:rPr>
      </w:pPr>
    </w:p>
    <w:p w:rsidR="002B2A4E" w:rsidRDefault="002B2A4E" w:rsidP="00EF1F66">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Provides that a financial institution is considered to have disclosed the information provided in this subchapter if the financial institution uses the form provided by Section 113.052 and the customer signs the acknowledgment provided at the end of the form, rather than the customer places the customer's initials to the right of each paragraph of the form. </w:t>
      </w:r>
    </w:p>
    <w:p w:rsidR="002B2A4E" w:rsidRDefault="002B2A4E" w:rsidP="00EF1F66">
      <w:pPr>
        <w:spacing w:after="0" w:line="240" w:lineRule="auto"/>
        <w:ind w:left="1440"/>
        <w:jc w:val="both"/>
        <w:rPr>
          <w:rFonts w:eastAsia="Times New Roman" w:cs="Times New Roman"/>
          <w:szCs w:val="24"/>
        </w:rPr>
      </w:pPr>
    </w:p>
    <w:p w:rsidR="002B2A4E" w:rsidRDefault="002B2A4E" w:rsidP="00EF1F66">
      <w:pPr>
        <w:spacing w:after="0" w:line="240" w:lineRule="auto"/>
        <w:ind w:left="1440"/>
        <w:jc w:val="both"/>
        <w:rPr>
          <w:rFonts w:eastAsia="Times New Roman" w:cs="Times New Roman"/>
          <w:szCs w:val="24"/>
        </w:rPr>
      </w:pPr>
      <w:r>
        <w:rPr>
          <w:rFonts w:eastAsia="Times New Roman" w:cs="Times New Roman"/>
          <w:szCs w:val="24"/>
        </w:rPr>
        <w:t xml:space="preserve">(b) Requires the financial institution to disclose the information provided by this subchapter (Uniform Account Form) separately from other account information except that the financial institution is authorized to disclose that information as part of other account documentation if the disclosures are the first items of the documentation, rather than authorizes the financial institution to make disclosures in the account agreement or in any other form that discloses the information provided by this subchapter, if a financial institution varies the format of the form provided by Section 113.052. Deletes existing text requiring that disclosures under this subsection meet certain criteria. </w:t>
      </w:r>
    </w:p>
    <w:p w:rsidR="002B2A4E" w:rsidRDefault="002B2A4E" w:rsidP="00EF1F66">
      <w:pPr>
        <w:spacing w:after="0" w:line="240" w:lineRule="auto"/>
        <w:ind w:left="1440"/>
        <w:jc w:val="both"/>
        <w:rPr>
          <w:rFonts w:eastAsia="Times New Roman" w:cs="Times New Roman"/>
          <w:szCs w:val="24"/>
        </w:rPr>
      </w:pPr>
    </w:p>
    <w:p w:rsidR="002B2A4E" w:rsidRDefault="002B2A4E" w:rsidP="00EF1F66">
      <w:pPr>
        <w:spacing w:after="0" w:line="240" w:lineRule="auto"/>
        <w:ind w:left="1440"/>
        <w:jc w:val="both"/>
        <w:rPr>
          <w:rFonts w:eastAsia="Times New Roman" w:cs="Times New Roman"/>
          <w:szCs w:val="24"/>
        </w:rPr>
      </w:pPr>
      <w:r>
        <w:rPr>
          <w:rFonts w:eastAsia="Times New Roman" w:cs="Times New Roman"/>
          <w:szCs w:val="24"/>
        </w:rPr>
        <w:t xml:space="preserve">(c) Provides that the requirement of a financial institution to notify the customer of the type of account the customer selected is satisfied by providing the customer with a copy of the account opening or modification documentation, as appropriate, in paper or electronic format. </w:t>
      </w:r>
    </w:p>
    <w:p w:rsidR="002B2A4E" w:rsidRDefault="002B2A4E" w:rsidP="00EF1F66">
      <w:pPr>
        <w:spacing w:after="0" w:line="240" w:lineRule="auto"/>
        <w:ind w:left="1440"/>
        <w:jc w:val="both"/>
        <w:rPr>
          <w:rFonts w:eastAsia="Times New Roman" w:cs="Times New Roman"/>
          <w:szCs w:val="24"/>
        </w:rPr>
      </w:pPr>
    </w:p>
    <w:p w:rsidR="002B2A4E" w:rsidRDefault="002B2A4E" w:rsidP="00EF1F66">
      <w:pPr>
        <w:spacing w:after="0" w:line="240" w:lineRule="auto"/>
        <w:ind w:left="1440"/>
        <w:jc w:val="both"/>
        <w:rPr>
          <w:rFonts w:eastAsia="Times New Roman" w:cs="Times New Roman"/>
          <w:szCs w:val="24"/>
        </w:rPr>
      </w:pPr>
      <w:r>
        <w:rPr>
          <w:rFonts w:eastAsia="Times New Roman" w:cs="Times New Roman"/>
          <w:szCs w:val="24"/>
        </w:rPr>
        <w:t xml:space="preserve">(d) Provides that, if a type of multiple-party account is not available from a financial institution, the financial institution is not required to make a disclosure about that type of account. </w:t>
      </w:r>
    </w:p>
    <w:p w:rsidR="002B2A4E" w:rsidRDefault="002B2A4E" w:rsidP="00EF1F66">
      <w:pPr>
        <w:spacing w:after="0" w:line="240" w:lineRule="auto"/>
        <w:ind w:left="1440"/>
        <w:jc w:val="both"/>
        <w:rPr>
          <w:rFonts w:eastAsia="Times New Roman" w:cs="Times New Roman"/>
          <w:szCs w:val="24"/>
        </w:rPr>
      </w:pPr>
    </w:p>
    <w:p w:rsidR="002B2A4E" w:rsidRDefault="002B2A4E" w:rsidP="00EF1F66">
      <w:pPr>
        <w:spacing w:after="0" w:line="240" w:lineRule="auto"/>
        <w:ind w:left="1440"/>
        <w:jc w:val="both"/>
        <w:rPr>
          <w:rFonts w:eastAsia="Times New Roman" w:cs="Times New Roman"/>
          <w:szCs w:val="24"/>
        </w:rPr>
      </w:pPr>
      <w:r>
        <w:rPr>
          <w:rFonts w:eastAsia="Times New Roman" w:cs="Times New Roman"/>
          <w:szCs w:val="24"/>
        </w:rPr>
        <w:t xml:space="preserve">(e) Creates this subsection from existing text. Provides that this section does not apply to a credit union or an account that is opened or modified by a customer who is a legal entity, including a governmental entity, or is acting as a legal representative for another person. </w:t>
      </w:r>
    </w:p>
    <w:p w:rsidR="002B2A4E" w:rsidRDefault="002B2A4E" w:rsidP="008346FD">
      <w:pPr>
        <w:spacing w:after="0" w:line="240" w:lineRule="auto"/>
        <w:jc w:val="both"/>
        <w:rPr>
          <w:rFonts w:eastAsia="Times New Roman" w:cs="Times New Roman"/>
          <w:szCs w:val="24"/>
        </w:rPr>
      </w:pPr>
    </w:p>
    <w:p w:rsidR="002B2A4E" w:rsidRDefault="002B2A4E" w:rsidP="008346FD">
      <w:pPr>
        <w:spacing w:after="0" w:line="240" w:lineRule="auto"/>
        <w:jc w:val="both"/>
        <w:rPr>
          <w:rFonts w:eastAsia="Times New Roman" w:cs="Times New Roman"/>
          <w:szCs w:val="24"/>
        </w:rPr>
      </w:pPr>
      <w:r>
        <w:rPr>
          <w:rFonts w:eastAsia="Times New Roman" w:cs="Times New Roman"/>
          <w:szCs w:val="24"/>
        </w:rPr>
        <w:t xml:space="preserve">SECTION 5. Amends Section 113.101, Estates Code, to provide that the </w:t>
      </w:r>
      <w:r w:rsidRPr="008346FD">
        <w:rPr>
          <w:rFonts w:eastAsia="Times New Roman" w:cs="Times New Roman"/>
          <w:szCs w:val="24"/>
        </w:rPr>
        <w:t>provisions of this subchapter</w:t>
      </w:r>
      <w:r>
        <w:rPr>
          <w:rFonts w:eastAsia="Times New Roman" w:cs="Times New Roman"/>
          <w:szCs w:val="24"/>
        </w:rPr>
        <w:t xml:space="preserve"> (Ownership and Operation of Accounts)</w:t>
      </w:r>
      <w:r w:rsidRPr="008346FD">
        <w:rPr>
          <w:rFonts w:eastAsia="Times New Roman" w:cs="Times New Roman"/>
          <w:szCs w:val="24"/>
        </w:rPr>
        <w:t xml:space="preserve"> and Subchapters B</w:t>
      </w:r>
      <w:r>
        <w:rPr>
          <w:rFonts w:eastAsia="Times New Roman" w:cs="Times New Roman"/>
          <w:szCs w:val="24"/>
        </w:rPr>
        <w:t xml:space="preserve"> </w:t>
      </w:r>
      <w:r w:rsidRPr="008346FD">
        <w:rPr>
          <w:rFonts w:eastAsia="Times New Roman" w:cs="Times New Roman"/>
          <w:szCs w:val="24"/>
        </w:rPr>
        <w:t>and D</w:t>
      </w:r>
      <w:r>
        <w:rPr>
          <w:rFonts w:eastAsia="Times New Roman" w:cs="Times New Roman"/>
          <w:szCs w:val="24"/>
        </w:rPr>
        <w:t xml:space="preserve"> (Rights of Survivorship in Accounts)</w:t>
      </w:r>
      <w:r w:rsidRPr="008346FD">
        <w:rPr>
          <w:rFonts w:eastAsia="Times New Roman" w:cs="Times New Roman"/>
          <w:szCs w:val="24"/>
        </w:rPr>
        <w:t xml:space="preserve"> that relate to beneficial ownership between parties to multiple-party accounts</w:t>
      </w:r>
      <w:r>
        <w:rPr>
          <w:rFonts w:eastAsia="Times New Roman" w:cs="Times New Roman"/>
          <w:szCs w:val="24"/>
        </w:rPr>
        <w:t xml:space="preserve"> or between parties and pay on death (P.O.D.) payees of multiple-party accounts, rather than between parties, or between parties and P.O.D. payees or beneficiaries of multiple-party accounts, </w:t>
      </w:r>
      <w:r w:rsidRPr="008346FD">
        <w:rPr>
          <w:rFonts w:eastAsia="Times New Roman" w:cs="Times New Roman"/>
          <w:szCs w:val="24"/>
        </w:rPr>
        <w:t>are relevant only to controversies between those persons and those persons' creditors and other successors</w:t>
      </w:r>
      <w:r>
        <w:rPr>
          <w:rFonts w:eastAsia="Times New Roman" w:cs="Times New Roman"/>
          <w:szCs w:val="24"/>
        </w:rPr>
        <w:t xml:space="preserve"> and </w:t>
      </w:r>
      <w:r w:rsidRPr="008346FD">
        <w:rPr>
          <w:rFonts w:eastAsia="Times New Roman" w:cs="Times New Roman"/>
          <w:szCs w:val="24"/>
        </w:rPr>
        <w:t>do not affect the withdrawal power of those persons under the terms of an account contract.</w:t>
      </w:r>
    </w:p>
    <w:p w:rsidR="002B2A4E" w:rsidRDefault="002B2A4E" w:rsidP="008346FD">
      <w:pPr>
        <w:spacing w:after="0" w:line="240" w:lineRule="auto"/>
        <w:jc w:val="both"/>
        <w:rPr>
          <w:rFonts w:eastAsia="Times New Roman" w:cs="Times New Roman"/>
          <w:szCs w:val="24"/>
        </w:rPr>
      </w:pPr>
    </w:p>
    <w:p w:rsidR="002B2A4E" w:rsidRDefault="002B2A4E" w:rsidP="008346FD">
      <w:pPr>
        <w:spacing w:after="0" w:line="240" w:lineRule="auto"/>
        <w:jc w:val="both"/>
        <w:rPr>
          <w:rFonts w:eastAsia="Times New Roman" w:cs="Times New Roman"/>
          <w:szCs w:val="24"/>
        </w:rPr>
      </w:pPr>
      <w:r>
        <w:rPr>
          <w:rFonts w:eastAsia="Times New Roman" w:cs="Times New Roman"/>
          <w:szCs w:val="24"/>
        </w:rPr>
        <w:t>SECTION 6. Amends Section 113.106, Estates Code, as follows:</w:t>
      </w:r>
    </w:p>
    <w:p w:rsidR="002B2A4E" w:rsidRDefault="002B2A4E" w:rsidP="008346FD">
      <w:pPr>
        <w:spacing w:after="0" w:line="240" w:lineRule="auto"/>
        <w:jc w:val="both"/>
        <w:rPr>
          <w:rFonts w:eastAsia="Times New Roman" w:cs="Times New Roman"/>
          <w:szCs w:val="24"/>
        </w:rPr>
      </w:pPr>
    </w:p>
    <w:p w:rsidR="002B2A4E" w:rsidRDefault="002B2A4E" w:rsidP="008346FD">
      <w:pPr>
        <w:spacing w:after="0" w:line="240" w:lineRule="auto"/>
        <w:ind w:left="720"/>
        <w:jc w:val="both"/>
        <w:rPr>
          <w:rFonts w:eastAsia="Times New Roman" w:cs="Times New Roman"/>
          <w:szCs w:val="24"/>
        </w:rPr>
      </w:pPr>
      <w:r>
        <w:rPr>
          <w:rFonts w:eastAsia="Times New Roman" w:cs="Times New Roman"/>
          <w:szCs w:val="24"/>
        </w:rPr>
        <w:t>Sec. 113.106. New heading: OWNERSHIP AND OPERATION OF ACCOUNT WITH CONVENIENCE SIGNER; PAYMENT; LIABILITY. (a) Authorizes one or more convenience signers to be designated on a single-party account or multiple-party account "for the convenience of the party or parties." Provides that a</w:t>
      </w:r>
      <w:r w:rsidRPr="008346FD">
        <w:rPr>
          <w:rFonts w:eastAsia="Times New Roman" w:cs="Times New Roman"/>
          <w:szCs w:val="24"/>
        </w:rPr>
        <w:t xml:space="preserve"> convenience signer is not an owner of the account but, on behalf of the part</w:t>
      </w:r>
      <w:r>
        <w:rPr>
          <w:rFonts w:eastAsia="Times New Roman" w:cs="Times New Roman"/>
          <w:szCs w:val="24"/>
        </w:rPr>
        <w:t>y or parties to the account, is authorized</w:t>
      </w:r>
      <w:r w:rsidRPr="008346FD">
        <w:rPr>
          <w:rFonts w:eastAsia="Times New Roman" w:cs="Times New Roman"/>
          <w:szCs w:val="24"/>
        </w:rPr>
        <w:t xml:space="preserve"> </w:t>
      </w:r>
      <w:r>
        <w:rPr>
          <w:rFonts w:eastAsia="Times New Roman" w:cs="Times New Roman"/>
          <w:szCs w:val="24"/>
        </w:rPr>
        <w:t xml:space="preserve">to </w:t>
      </w:r>
      <w:r w:rsidRPr="008346FD">
        <w:rPr>
          <w:rFonts w:eastAsia="Times New Roman" w:cs="Times New Roman"/>
          <w:szCs w:val="24"/>
        </w:rPr>
        <w:t>make deposits to and be paid or delivered sums on deposit from the account during the lifetime of the party or parties. A</w:t>
      </w:r>
      <w:r>
        <w:rPr>
          <w:rFonts w:eastAsia="Times New Roman" w:cs="Times New Roman"/>
          <w:szCs w:val="24"/>
        </w:rPr>
        <w:t>uthorizes a</w:t>
      </w:r>
      <w:r w:rsidRPr="008346FD">
        <w:rPr>
          <w:rFonts w:eastAsia="Times New Roman" w:cs="Times New Roman"/>
          <w:szCs w:val="24"/>
        </w:rPr>
        <w:t xml:space="preserve"> convenience signer </w:t>
      </w:r>
      <w:r>
        <w:rPr>
          <w:rFonts w:eastAsia="Times New Roman" w:cs="Times New Roman"/>
          <w:szCs w:val="24"/>
        </w:rPr>
        <w:t>to</w:t>
      </w:r>
      <w:r w:rsidRPr="008346FD">
        <w:rPr>
          <w:rFonts w:eastAsia="Times New Roman" w:cs="Times New Roman"/>
          <w:szCs w:val="24"/>
        </w:rPr>
        <w:t xml:space="preserve"> be designated as a P.O.D. payee of the account.</w:t>
      </w:r>
      <w:r>
        <w:rPr>
          <w:rFonts w:eastAsia="Times New Roman" w:cs="Times New Roman"/>
          <w:szCs w:val="24"/>
        </w:rPr>
        <w:t xml:space="preserve"> Deletes existing text authorizing an </w:t>
      </w:r>
      <w:r w:rsidRPr="008346FD">
        <w:rPr>
          <w:rFonts w:eastAsia="Times New Roman" w:cs="Times New Roman"/>
          <w:szCs w:val="24"/>
        </w:rPr>
        <w:t>account established by one or more parties at a financial institution that is not designated as a convenience account, but is instead designated as</w:t>
      </w:r>
      <w:r>
        <w:rPr>
          <w:rFonts w:eastAsia="Times New Roman" w:cs="Times New Roman"/>
          <w:szCs w:val="24"/>
        </w:rPr>
        <w:t xml:space="preserve"> a single-party account or another type of multiple-party account to provide that the sums on deposit may be paid or delivered to the parties or to one or more convenience signers "for the convenience of the parties." </w:t>
      </w:r>
    </w:p>
    <w:p w:rsidR="002B2A4E" w:rsidRDefault="002B2A4E" w:rsidP="008346FD">
      <w:pPr>
        <w:spacing w:after="0" w:line="240" w:lineRule="auto"/>
        <w:ind w:left="720"/>
        <w:jc w:val="both"/>
        <w:rPr>
          <w:rFonts w:eastAsia="Times New Roman" w:cs="Times New Roman"/>
          <w:szCs w:val="24"/>
        </w:rPr>
      </w:pPr>
    </w:p>
    <w:p w:rsidR="002B2A4E" w:rsidRDefault="002B2A4E" w:rsidP="008346FD">
      <w:pPr>
        <w:spacing w:after="0" w:line="240" w:lineRule="auto"/>
        <w:ind w:left="1440"/>
        <w:jc w:val="both"/>
        <w:rPr>
          <w:rFonts w:eastAsia="Times New Roman" w:cs="Times New Roman"/>
          <w:szCs w:val="24"/>
        </w:rPr>
      </w:pPr>
      <w:r>
        <w:rPr>
          <w:rFonts w:eastAsia="Times New Roman" w:cs="Times New Roman"/>
          <w:szCs w:val="24"/>
        </w:rPr>
        <w:t xml:space="preserve">(b) Provides that Subsections (c) through </w:t>
      </w:r>
      <w:r w:rsidRPr="008346FD">
        <w:rPr>
          <w:rFonts w:eastAsia="Times New Roman" w:cs="Times New Roman"/>
          <w:szCs w:val="24"/>
        </w:rPr>
        <w:t>(i) apply to an account described by Subsection (a) except</w:t>
      </w:r>
      <w:r>
        <w:rPr>
          <w:rFonts w:eastAsia="Times New Roman" w:cs="Times New Roman"/>
          <w:szCs w:val="24"/>
        </w:rPr>
        <w:t xml:space="preserve"> as provided by Section 113.1541. Deletes existing text providing that, except as provided by Section 113.1541, certain sections apply to an account described by Subsection (a) and that any </w:t>
      </w:r>
      <w:r w:rsidRPr="008346FD">
        <w:rPr>
          <w:rFonts w:eastAsia="Times New Roman" w:cs="Times New Roman"/>
          <w:szCs w:val="24"/>
        </w:rPr>
        <w:t>other law relating to a convenience signer applies to a convenience signer designated as provided by this section to the extent the law applies to a convenience signer on a convenience account</w:t>
      </w:r>
      <w:r>
        <w:rPr>
          <w:rFonts w:eastAsia="Times New Roman" w:cs="Times New Roman"/>
          <w:szCs w:val="24"/>
        </w:rPr>
        <w:t>.</w:t>
      </w:r>
    </w:p>
    <w:p w:rsidR="002B2A4E" w:rsidRDefault="002B2A4E" w:rsidP="008346FD">
      <w:pPr>
        <w:spacing w:after="0" w:line="240" w:lineRule="auto"/>
        <w:ind w:left="1440"/>
        <w:jc w:val="both"/>
        <w:rPr>
          <w:rFonts w:eastAsia="Times New Roman" w:cs="Times New Roman"/>
          <w:szCs w:val="24"/>
        </w:rPr>
      </w:pPr>
    </w:p>
    <w:p w:rsidR="002B2A4E" w:rsidRDefault="002B2A4E" w:rsidP="008346FD">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8346FD">
        <w:rPr>
          <w:rFonts w:eastAsia="Times New Roman" w:cs="Times New Roman"/>
          <w:szCs w:val="24"/>
        </w:rPr>
        <w:t>making of a deposit in an account described by Subsection (a) does not affect the title to the deposit.</w:t>
      </w:r>
    </w:p>
    <w:p w:rsidR="002B2A4E" w:rsidRDefault="002B2A4E" w:rsidP="008346FD">
      <w:pPr>
        <w:spacing w:after="0" w:line="240" w:lineRule="auto"/>
        <w:ind w:left="1440"/>
        <w:jc w:val="both"/>
        <w:rPr>
          <w:rFonts w:eastAsia="Times New Roman" w:cs="Times New Roman"/>
          <w:szCs w:val="24"/>
        </w:rPr>
      </w:pPr>
    </w:p>
    <w:p w:rsidR="002B2A4E" w:rsidRDefault="002B2A4E" w:rsidP="008346FD">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8346FD">
        <w:rPr>
          <w:rFonts w:eastAsia="Times New Roman" w:cs="Times New Roman"/>
          <w:szCs w:val="24"/>
        </w:rPr>
        <w:t>party to an account described by Subsection (a) is not considered to have made a gift of the deposit, or of any additions or accruals to the deposit, to a convenience signer.</w:t>
      </w:r>
    </w:p>
    <w:p w:rsidR="002B2A4E" w:rsidRDefault="002B2A4E" w:rsidP="008346FD">
      <w:pPr>
        <w:spacing w:after="0" w:line="240" w:lineRule="auto"/>
        <w:ind w:left="1440"/>
        <w:jc w:val="both"/>
        <w:rPr>
          <w:rFonts w:eastAsia="Times New Roman" w:cs="Times New Roman"/>
          <w:szCs w:val="24"/>
        </w:rPr>
      </w:pPr>
    </w:p>
    <w:p w:rsidR="002B2A4E" w:rsidRPr="008346FD" w:rsidRDefault="002B2A4E" w:rsidP="008346FD">
      <w:pPr>
        <w:spacing w:after="0" w:line="240" w:lineRule="auto"/>
        <w:ind w:left="1440"/>
        <w:jc w:val="both"/>
        <w:rPr>
          <w:rFonts w:eastAsia="Times New Roman" w:cs="Times New Roman"/>
          <w:szCs w:val="24"/>
        </w:rPr>
      </w:pPr>
      <w:r>
        <w:rPr>
          <w:rFonts w:eastAsia="Times New Roman" w:cs="Times New Roman"/>
          <w:szCs w:val="24"/>
        </w:rPr>
        <w:t>(e) Provides that a</w:t>
      </w:r>
      <w:r w:rsidRPr="008346FD">
        <w:rPr>
          <w:rFonts w:eastAsia="Times New Roman" w:cs="Times New Roman"/>
          <w:szCs w:val="24"/>
        </w:rPr>
        <w:t>n addition made to an account described by Subsection (a) by anyone other than a party, and accruals to the addition, are considered to have been made by a party.</w:t>
      </w:r>
    </w:p>
    <w:p w:rsidR="002B2A4E" w:rsidRPr="008346FD" w:rsidRDefault="002B2A4E" w:rsidP="008346FD">
      <w:pPr>
        <w:spacing w:after="0" w:line="240" w:lineRule="auto"/>
        <w:ind w:left="1440"/>
        <w:jc w:val="both"/>
        <w:rPr>
          <w:rFonts w:eastAsia="Times New Roman" w:cs="Times New Roman"/>
          <w:szCs w:val="24"/>
        </w:rPr>
      </w:pPr>
    </w:p>
    <w:p w:rsidR="002B2A4E" w:rsidRPr="008346FD" w:rsidRDefault="002B2A4E" w:rsidP="008346FD">
      <w:pPr>
        <w:spacing w:after="0" w:line="240" w:lineRule="auto"/>
        <w:ind w:left="1440"/>
        <w:jc w:val="both"/>
        <w:rPr>
          <w:rFonts w:eastAsia="Times New Roman" w:cs="Times New Roman"/>
          <w:szCs w:val="24"/>
        </w:rPr>
      </w:pPr>
      <w:r>
        <w:rPr>
          <w:rFonts w:eastAsia="Times New Roman" w:cs="Times New Roman"/>
          <w:szCs w:val="24"/>
        </w:rPr>
        <w:t>(f) Authorizes d</w:t>
      </w:r>
      <w:r w:rsidRPr="008346FD">
        <w:rPr>
          <w:rFonts w:eastAsia="Times New Roman" w:cs="Times New Roman"/>
          <w:szCs w:val="24"/>
        </w:rPr>
        <w:t xml:space="preserve">eposits to an account described by Subsection (a) and additions and accruals to the deposits </w:t>
      </w:r>
      <w:r>
        <w:rPr>
          <w:rFonts w:eastAsia="Times New Roman" w:cs="Times New Roman"/>
          <w:szCs w:val="24"/>
        </w:rPr>
        <w:t>to</w:t>
      </w:r>
      <w:r w:rsidRPr="008346FD">
        <w:rPr>
          <w:rFonts w:eastAsia="Times New Roman" w:cs="Times New Roman"/>
          <w:szCs w:val="24"/>
        </w:rPr>
        <w:t xml:space="preserve"> be paid to a party or a convenience signer.</w:t>
      </w:r>
    </w:p>
    <w:p w:rsidR="002B2A4E" w:rsidRPr="008346FD" w:rsidRDefault="002B2A4E" w:rsidP="008346FD">
      <w:pPr>
        <w:spacing w:after="0" w:line="240" w:lineRule="auto"/>
        <w:ind w:left="1440"/>
        <w:jc w:val="both"/>
        <w:rPr>
          <w:rFonts w:eastAsia="Times New Roman" w:cs="Times New Roman"/>
          <w:szCs w:val="24"/>
        </w:rPr>
      </w:pPr>
    </w:p>
    <w:p w:rsidR="002B2A4E" w:rsidRPr="008346FD" w:rsidRDefault="002B2A4E" w:rsidP="008346FD">
      <w:pPr>
        <w:spacing w:after="0" w:line="240" w:lineRule="auto"/>
        <w:ind w:left="1440"/>
        <w:jc w:val="both"/>
        <w:rPr>
          <w:rFonts w:eastAsia="Times New Roman" w:cs="Times New Roman"/>
          <w:szCs w:val="24"/>
        </w:rPr>
      </w:pPr>
      <w:r>
        <w:rPr>
          <w:rFonts w:eastAsia="Times New Roman" w:cs="Times New Roman"/>
          <w:szCs w:val="24"/>
        </w:rPr>
        <w:t>(g) Provides that a</w:t>
      </w:r>
      <w:r w:rsidRPr="008346FD">
        <w:rPr>
          <w:rFonts w:eastAsia="Times New Roman" w:cs="Times New Roman"/>
          <w:szCs w:val="24"/>
        </w:rPr>
        <w:t xml:space="preserve"> financial institution is completely released from liability for a payment made from an account described by Subsection (a) before the financial institution receives notice in writing signed by a party not to make the payment in accordance with the terms of the account. A</w:t>
      </w:r>
      <w:r>
        <w:rPr>
          <w:rFonts w:eastAsia="Times New Roman" w:cs="Times New Roman"/>
          <w:szCs w:val="24"/>
        </w:rPr>
        <w:t>uthorizes the financial institution, a</w:t>
      </w:r>
      <w:r w:rsidRPr="008346FD">
        <w:rPr>
          <w:rFonts w:eastAsia="Times New Roman" w:cs="Times New Roman"/>
          <w:szCs w:val="24"/>
        </w:rPr>
        <w:t>fter receipt of the notice from a party,</w:t>
      </w:r>
      <w:r>
        <w:rPr>
          <w:rFonts w:eastAsia="Times New Roman" w:cs="Times New Roman"/>
          <w:szCs w:val="24"/>
        </w:rPr>
        <w:t xml:space="preserve"> to </w:t>
      </w:r>
      <w:r w:rsidRPr="008346FD">
        <w:rPr>
          <w:rFonts w:eastAsia="Times New Roman" w:cs="Times New Roman"/>
          <w:szCs w:val="24"/>
        </w:rPr>
        <w:t>require a party to approve any further payments from the account.</w:t>
      </w:r>
    </w:p>
    <w:p w:rsidR="002B2A4E" w:rsidRPr="008346FD" w:rsidRDefault="002B2A4E" w:rsidP="008346FD">
      <w:pPr>
        <w:spacing w:after="0" w:line="240" w:lineRule="auto"/>
        <w:ind w:left="1440"/>
        <w:jc w:val="both"/>
        <w:rPr>
          <w:rFonts w:eastAsia="Times New Roman" w:cs="Times New Roman"/>
          <w:szCs w:val="24"/>
        </w:rPr>
      </w:pPr>
    </w:p>
    <w:p w:rsidR="002B2A4E" w:rsidRPr="008346FD" w:rsidRDefault="002B2A4E" w:rsidP="008346FD">
      <w:pPr>
        <w:spacing w:after="0" w:line="240" w:lineRule="auto"/>
        <w:ind w:left="1440"/>
        <w:jc w:val="both"/>
        <w:rPr>
          <w:rFonts w:eastAsia="Times New Roman" w:cs="Times New Roman"/>
          <w:szCs w:val="24"/>
        </w:rPr>
      </w:pPr>
      <w:r>
        <w:rPr>
          <w:rFonts w:eastAsia="Times New Roman" w:cs="Times New Roman"/>
          <w:szCs w:val="24"/>
        </w:rPr>
        <w:t>(h) Provides that a</w:t>
      </w:r>
      <w:r w:rsidRPr="008346FD">
        <w:rPr>
          <w:rFonts w:eastAsia="Times New Roman" w:cs="Times New Roman"/>
          <w:szCs w:val="24"/>
        </w:rPr>
        <w:t xml:space="preserve"> financial institution that makes a payment of the sums on deposit in an account described by Subsection (a) to a convenience signer after the death of the last surviving party, but before the financial institution receives written notice of the last surviving party's death, is completely released from liability for the payment.</w:t>
      </w:r>
    </w:p>
    <w:p w:rsidR="002B2A4E" w:rsidRPr="008346FD" w:rsidRDefault="002B2A4E" w:rsidP="008346FD">
      <w:pPr>
        <w:spacing w:after="0" w:line="240" w:lineRule="auto"/>
        <w:ind w:left="1440"/>
        <w:jc w:val="both"/>
        <w:rPr>
          <w:rFonts w:eastAsia="Times New Roman" w:cs="Times New Roman"/>
          <w:szCs w:val="24"/>
        </w:rPr>
      </w:pPr>
    </w:p>
    <w:p w:rsidR="002B2A4E" w:rsidRPr="005C2A78" w:rsidRDefault="002B2A4E" w:rsidP="008346FD">
      <w:pPr>
        <w:spacing w:after="0" w:line="240" w:lineRule="auto"/>
        <w:ind w:left="1440"/>
        <w:jc w:val="both"/>
        <w:rPr>
          <w:rFonts w:eastAsia="Times New Roman" w:cs="Times New Roman"/>
          <w:szCs w:val="24"/>
        </w:rPr>
      </w:pPr>
      <w:r>
        <w:rPr>
          <w:rFonts w:eastAsia="Times New Roman" w:cs="Times New Roman"/>
          <w:szCs w:val="24"/>
        </w:rPr>
        <w:t>(i) Provides that a</w:t>
      </w:r>
      <w:r w:rsidRPr="008346FD">
        <w:rPr>
          <w:rFonts w:eastAsia="Times New Roman" w:cs="Times New Roman"/>
          <w:szCs w:val="24"/>
        </w:rPr>
        <w:t xml:space="preserve"> financial institution that makes a payment of the sums on deposit in an account described by Subsection (a) to the personal representative of the deceased last surviving party's estate after the death of the last surviving party, but before a court order prohibiting payment is served on the financial institution, is, to the extent of the payment, released from liability to any person </w:t>
      </w:r>
      <w:r>
        <w:rPr>
          <w:rFonts w:eastAsia="Times New Roman" w:cs="Times New Roman"/>
          <w:szCs w:val="24"/>
        </w:rPr>
        <w:t>claiming a right to the funds. Provides that t</w:t>
      </w:r>
      <w:r w:rsidRPr="008346FD">
        <w:rPr>
          <w:rFonts w:eastAsia="Times New Roman" w:cs="Times New Roman"/>
          <w:szCs w:val="24"/>
        </w:rPr>
        <w:t>he personal representative's receipt of the funds is a complete release and discharge of the financial institution.</w:t>
      </w:r>
    </w:p>
    <w:p w:rsidR="002B2A4E" w:rsidRDefault="002B2A4E" w:rsidP="00774EC7">
      <w:pPr>
        <w:spacing w:after="0" w:line="240" w:lineRule="auto"/>
        <w:jc w:val="both"/>
        <w:rPr>
          <w:rFonts w:cs="Times New Roman"/>
          <w:szCs w:val="24"/>
        </w:rPr>
      </w:pPr>
    </w:p>
    <w:p w:rsidR="002B2A4E" w:rsidRDefault="002B2A4E" w:rsidP="00774EC7">
      <w:pPr>
        <w:spacing w:after="0" w:line="240" w:lineRule="auto"/>
        <w:jc w:val="both"/>
        <w:rPr>
          <w:rFonts w:cs="Times New Roman"/>
          <w:szCs w:val="24"/>
        </w:rPr>
      </w:pPr>
      <w:r>
        <w:rPr>
          <w:rFonts w:cs="Times New Roman"/>
          <w:szCs w:val="24"/>
        </w:rPr>
        <w:t>SECTION 7. Amends Section 113.151(d), Estates Code, to provide that, i</w:t>
      </w:r>
      <w:r w:rsidRPr="008B5773">
        <w:rPr>
          <w:rFonts w:cs="Times New Roman"/>
          <w:szCs w:val="24"/>
        </w:rPr>
        <w:t>f there are two or more surviving parties to a joint account that is subject to a right of survivorship agreement</w:t>
      </w:r>
      <w:r w:rsidRPr="008B5773">
        <w:t xml:space="preserve"> </w:t>
      </w:r>
      <w:r w:rsidRPr="008B5773">
        <w:rPr>
          <w:rFonts w:cs="Times New Roman"/>
          <w:szCs w:val="24"/>
        </w:rPr>
        <w:t>during the parties' lifetimes respective ownerships are in proportion to the parties' previous ownership interests under Sections 113.102</w:t>
      </w:r>
      <w:r>
        <w:rPr>
          <w:rFonts w:cs="Times New Roman"/>
          <w:szCs w:val="24"/>
        </w:rPr>
        <w:t xml:space="preserve"> (Ownership of Joint Account During Parties' Lifetimes) and 113.103 (Ownership of P.O.D. Account During Original Payee's Lifetimes), rather than Sections 113.102, 113.103, and 113.104 (Ownership of Trust Account During Trustee' Lifetime), </w:t>
      </w:r>
      <w:r w:rsidRPr="008B5773">
        <w:rPr>
          <w:rFonts w:cs="Times New Roman"/>
          <w:szCs w:val="24"/>
        </w:rPr>
        <w:t>as applicable, augmented by an equal share for each survivor of any interest a deceased party owned in the account immediately before that party's death</w:t>
      </w:r>
      <w:r>
        <w:rPr>
          <w:rFonts w:cs="Times New Roman"/>
          <w:szCs w:val="24"/>
        </w:rPr>
        <w:t>.</w:t>
      </w:r>
    </w:p>
    <w:p w:rsidR="002B2A4E" w:rsidRDefault="002B2A4E" w:rsidP="00774EC7">
      <w:pPr>
        <w:spacing w:after="0" w:line="240" w:lineRule="auto"/>
        <w:jc w:val="both"/>
        <w:rPr>
          <w:rFonts w:cs="Times New Roman"/>
          <w:szCs w:val="24"/>
        </w:rPr>
      </w:pPr>
    </w:p>
    <w:p w:rsidR="002B2A4E" w:rsidRDefault="002B2A4E" w:rsidP="00774EC7">
      <w:pPr>
        <w:spacing w:after="0" w:line="240" w:lineRule="auto"/>
        <w:jc w:val="both"/>
        <w:rPr>
          <w:rFonts w:cs="Times New Roman"/>
          <w:szCs w:val="24"/>
        </w:rPr>
      </w:pPr>
      <w:r>
        <w:rPr>
          <w:rFonts w:cs="Times New Roman"/>
          <w:szCs w:val="24"/>
        </w:rPr>
        <w:t>SECTION 8. Amends Section 113.1541, Estates Code, as follows:</w:t>
      </w:r>
    </w:p>
    <w:p w:rsidR="002B2A4E" w:rsidRDefault="002B2A4E" w:rsidP="00774EC7">
      <w:pPr>
        <w:spacing w:after="0" w:line="240" w:lineRule="auto"/>
        <w:jc w:val="both"/>
        <w:rPr>
          <w:rFonts w:cs="Times New Roman"/>
          <w:szCs w:val="24"/>
        </w:rPr>
      </w:pPr>
    </w:p>
    <w:p w:rsidR="002B2A4E" w:rsidRDefault="002B2A4E" w:rsidP="008B5773">
      <w:pPr>
        <w:spacing w:after="0" w:line="240" w:lineRule="auto"/>
        <w:ind w:left="720"/>
        <w:jc w:val="both"/>
        <w:rPr>
          <w:rFonts w:cs="Times New Roman"/>
          <w:szCs w:val="24"/>
        </w:rPr>
      </w:pPr>
      <w:r>
        <w:rPr>
          <w:rFonts w:cs="Times New Roman"/>
          <w:szCs w:val="24"/>
        </w:rPr>
        <w:t>Sec. 113.1541. New heading: OWNERSHIP OF ACCOUNT WITH CONVENIENCE SIGNER ON DEATH OF LAST SURVIVING PARTY. Provides that, o</w:t>
      </w:r>
      <w:r w:rsidRPr="008B5773">
        <w:rPr>
          <w:rFonts w:cs="Times New Roman"/>
          <w:szCs w:val="24"/>
        </w:rPr>
        <w:t>n the death of the last surviving party to an account that has a convenience signer designated as provided by Section 113.106</w:t>
      </w:r>
      <w:r>
        <w:rPr>
          <w:rFonts w:cs="Times New Roman"/>
          <w:szCs w:val="24"/>
        </w:rPr>
        <w:t xml:space="preserve"> (Ownership and Operation of Other Account with Convenience Signer)</w:t>
      </w:r>
      <w:r w:rsidRPr="008B5773">
        <w:rPr>
          <w:rFonts w:cs="Times New Roman"/>
          <w:szCs w:val="24"/>
        </w:rPr>
        <w:t>, the convenience signer does not have a right of survivorship in the account and the estate of the last surviving party owns the account unless the convenience signer is als</w:t>
      </w:r>
      <w:r>
        <w:rPr>
          <w:rFonts w:cs="Times New Roman"/>
          <w:szCs w:val="24"/>
        </w:rPr>
        <w:t>o designated as a P.O.D. payee, rather than as a P.O.D. payee or as a beneficiary</w:t>
      </w:r>
      <w:r w:rsidRPr="008B5773">
        <w:rPr>
          <w:rFonts w:cs="Times New Roman"/>
          <w:szCs w:val="24"/>
        </w:rPr>
        <w:t>.</w:t>
      </w:r>
    </w:p>
    <w:p w:rsidR="002B2A4E" w:rsidRDefault="002B2A4E" w:rsidP="008B5773">
      <w:pPr>
        <w:spacing w:after="0" w:line="240" w:lineRule="auto"/>
        <w:ind w:left="720"/>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SECTION 9. Amends</w:t>
      </w:r>
      <w:r w:rsidRPr="008B5773">
        <w:rPr>
          <w:rFonts w:cs="Times New Roman"/>
          <w:szCs w:val="24"/>
        </w:rPr>
        <w:t xml:space="preserve"> Sections 113.155, 113.156, and 113.158, Estates Code,</w:t>
      </w:r>
      <w:r>
        <w:rPr>
          <w:rFonts w:cs="Times New Roman"/>
          <w:szCs w:val="24"/>
        </w:rPr>
        <w:t xml:space="preserve"> as follows:</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ind w:left="720"/>
        <w:jc w:val="both"/>
        <w:rPr>
          <w:rFonts w:cs="Times New Roman"/>
          <w:szCs w:val="24"/>
        </w:rPr>
      </w:pPr>
      <w:r w:rsidRPr="008B5773">
        <w:rPr>
          <w:rFonts w:cs="Times New Roman"/>
          <w:szCs w:val="24"/>
        </w:rPr>
        <w:t>Sec. 113.155.  EFFECT OF DEATH OF PARTY ON CERTAIN ACCOUNTS WITHOUT RIGHTS OF SURVIVORSHIP.</w:t>
      </w:r>
      <w:r>
        <w:rPr>
          <w:rFonts w:cs="Times New Roman"/>
          <w:szCs w:val="24"/>
        </w:rPr>
        <w:t xml:space="preserve"> Deletes Section 113.153 (Ownership of Trust Account on Death of Trustee) from the list of sections applicable to the beneficial ownership of an account.</w:t>
      </w:r>
    </w:p>
    <w:p w:rsidR="002B2A4E" w:rsidRDefault="002B2A4E" w:rsidP="008B5773">
      <w:pPr>
        <w:spacing w:after="0" w:line="240" w:lineRule="auto"/>
        <w:ind w:left="720"/>
        <w:jc w:val="both"/>
        <w:rPr>
          <w:rFonts w:cs="Times New Roman"/>
          <w:szCs w:val="24"/>
        </w:rPr>
      </w:pPr>
    </w:p>
    <w:p w:rsidR="002B2A4E" w:rsidRDefault="002B2A4E" w:rsidP="008B5773">
      <w:pPr>
        <w:spacing w:after="0" w:line="240" w:lineRule="auto"/>
        <w:ind w:left="720"/>
        <w:jc w:val="both"/>
        <w:rPr>
          <w:rFonts w:cs="Times New Roman"/>
          <w:szCs w:val="24"/>
        </w:rPr>
      </w:pPr>
      <w:r w:rsidRPr="008B5773">
        <w:rPr>
          <w:rFonts w:cs="Times New Roman"/>
          <w:szCs w:val="24"/>
        </w:rPr>
        <w:t>Sec. 113.156.  APPLICABILITY OF CERTAIN PROVISIONS ON DEATH OF PARTY.</w:t>
      </w:r>
      <w:r>
        <w:rPr>
          <w:rFonts w:cs="Times New Roman"/>
          <w:szCs w:val="24"/>
        </w:rPr>
        <w:t xml:space="preserve"> Makes a conforming change.</w:t>
      </w:r>
    </w:p>
    <w:p w:rsidR="002B2A4E" w:rsidRDefault="002B2A4E" w:rsidP="008B5773">
      <w:pPr>
        <w:spacing w:after="0" w:line="240" w:lineRule="auto"/>
        <w:ind w:left="720"/>
        <w:jc w:val="both"/>
        <w:rPr>
          <w:rFonts w:cs="Times New Roman"/>
          <w:szCs w:val="24"/>
        </w:rPr>
      </w:pPr>
    </w:p>
    <w:p w:rsidR="002B2A4E" w:rsidRDefault="002B2A4E" w:rsidP="008B5773">
      <w:pPr>
        <w:spacing w:after="0" w:line="240" w:lineRule="auto"/>
        <w:ind w:left="720"/>
        <w:jc w:val="both"/>
        <w:rPr>
          <w:rFonts w:cs="Times New Roman"/>
          <w:szCs w:val="24"/>
        </w:rPr>
      </w:pPr>
      <w:r w:rsidRPr="008B5773">
        <w:rPr>
          <w:rFonts w:cs="Times New Roman"/>
          <w:szCs w:val="24"/>
        </w:rPr>
        <w:t>Sec. 113.158.  NONTESTAMENTARY NATURE OF CERTAIN TRANSFERS.</w:t>
      </w:r>
      <w:r>
        <w:rPr>
          <w:rFonts w:cs="Times New Roman"/>
          <w:szCs w:val="24"/>
        </w:rPr>
        <w:t xml:space="preserve"> Makes a conforming change.</w:t>
      </w:r>
    </w:p>
    <w:p w:rsidR="002B2A4E" w:rsidRDefault="002B2A4E" w:rsidP="008B5773">
      <w:pPr>
        <w:spacing w:after="0" w:line="240" w:lineRule="auto"/>
        <w:ind w:left="720"/>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SECTION 10. Amends Section 113.203(b), Estates Code, to make a conforming change.</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 xml:space="preserve">SECTION 11. Amends Section 113.209(a), Estates Code, to delete Section 113.205 (Payment of Trust Account) from the list of sections with which a payment is made in accordance. Provides that payments made in accordance with certain sections discharges the </w:t>
      </w:r>
      <w:r w:rsidRPr="008B5773">
        <w:rPr>
          <w:rFonts w:cs="Times New Roman"/>
          <w:szCs w:val="24"/>
        </w:rPr>
        <w:t>financial institution from all claims for those amounts paid regardless of whether the payment is consistent with the beneficial ownership of the account between parties, P.O.D. payees, or their successors</w:t>
      </w:r>
      <w:r>
        <w:rPr>
          <w:rFonts w:cs="Times New Roman"/>
          <w:szCs w:val="24"/>
        </w:rPr>
        <w:t xml:space="preserve">, rather than </w:t>
      </w:r>
      <w:r w:rsidRPr="008B5773">
        <w:rPr>
          <w:rFonts w:cs="Times New Roman"/>
          <w:szCs w:val="24"/>
        </w:rPr>
        <w:t xml:space="preserve">between parties, P.O.D. payees, </w:t>
      </w:r>
      <w:r>
        <w:rPr>
          <w:rFonts w:cs="Times New Roman"/>
          <w:szCs w:val="24"/>
        </w:rPr>
        <w:t xml:space="preserve">or beneficiaries, </w:t>
      </w:r>
      <w:r w:rsidRPr="008B5773">
        <w:rPr>
          <w:rFonts w:cs="Times New Roman"/>
          <w:szCs w:val="24"/>
        </w:rPr>
        <w:t>or their successors.</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SECTION 12. Amends Sections 113.251(a) and (d), Estates Code, to make conforming changes.</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SECTION 13. Amends Section 113.252(b), Estates Code, to make nonsubstantive and conforming changes.</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SECTION 14. Amends Section 153.001(3), Estates Code, to redefine "P.O.D. account."</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 xml:space="preserve">SECTION 15. Amends Section 153.002, Estates Code, to delete a trust account from the list of accounts to which this chapter (Access to Intestate's Account With Financial Institution) does not apply. </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 xml:space="preserve">SECTION 16. Repealers: </w:t>
      </w:r>
      <w:r w:rsidRPr="008B5773">
        <w:rPr>
          <w:rFonts w:cs="Times New Roman"/>
          <w:szCs w:val="24"/>
        </w:rPr>
        <w:t>Sections 113.001(2)</w:t>
      </w:r>
      <w:r>
        <w:rPr>
          <w:rFonts w:cs="Times New Roman"/>
          <w:szCs w:val="24"/>
        </w:rPr>
        <w:t xml:space="preserve"> (relating to the definition of "beneficiary")</w:t>
      </w:r>
      <w:r w:rsidRPr="008B5773">
        <w:rPr>
          <w:rFonts w:cs="Times New Roman"/>
          <w:szCs w:val="24"/>
        </w:rPr>
        <w:t>, 113.104</w:t>
      </w:r>
      <w:r>
        <w:rPr>
          <w:rFonts w:cs="Times New Roman"/>
          <w:szCs w:val="24"/>
        </w:rPr>
        <w:t xml:space="preserve"> (Ownership of Trust Account During Trustee's Lifetime)</w:t>
      </w:r>
      <w:r w:rsidRPr="008B5773">
        <w:rPr>
          <w:rFonts w:cs="Times New Roman"/>
          <w:szCs w:val="24"/>
        </w:rPr>
        <w:t>, 113.105</w:t>
      </w:r>
      <w:r>
        <w:rPr>
          <w:rFonts w:cs="Times New Roman"/>
          <w:szCs w:val="24"/>
        </w:rPr>
        <w:t xml:space="preserve"> (Ownership of Convenience Account; Additions and Accruals)</w:t>
      </w:r>
      <w:r w:rsidRPr="008B5773">
        <w:rPr>
          <w:rFonts w:cs="Times New Roman"/>
          <w:szCs w:val="24"/>
        </w:rPr>
        <w:t>, 113.153</w:t>
      </w:r>
      <w:r>
        <w:rPr>
          <w:rFonts w:cs="Times New Roman"/>
          <w:szCs w:val="24"/>
        </w:rPr>
        <w:t xml:space="preserve"> (Ownership of Trust Account on Death of Trustee)</w:t>
      </w:r>
      <w:r w:rsidRPr="008B5773">
        <w:rPr>
          <w:rFonts w:cs="Times New Roman"/>
          <w:szCs w:val="24"/>
        </w:rPr>
        <w:t>, 113.154</w:t>
      </w:r>
      <w:r>
        <w:rPr>
          <w:rFonts w:cs="Times New Roman"/>
          <w:szCs w:val="24"/>
        </w:rPr>
        <w:t xml:space="preserve"> (Ownership of Convenience Account on Death of Party)</w:t>
      </w:r>
      <w:r w:rsidRPr="008B5773">
        <w:rPr>
          <w:rFonts w:cs="Times New Roman"/>
          <w:szCs w:val="24"/>
        </w:rPr>
        <w:t>, 113.205</w:t>
      </w:r>
      <w:r>
        <w:rPr>
          <w:rFonts w:cs="Times New Roman"/>
          <w:szCs w:val="24"/>
        </w:rPr>
        <w:t xml:space="preserve"> (Payment of Trust Account)</w:t>
      </w:r>
      <w:r w:rsidRPr="008B5773">
        <w:rPr>
          <w:rFonts w:cs="Times New Roman"/>
          <w:szCs w:val="24"/>
        </w:rPr>
        <w:t>, 113.206</w:t>
      </w:r>
      <w:r>
        <w:rPr>
          <w:rFonts w:cs="Times New Roman"/>
          <w:szCs w:val="24"/>
        </w:rPr>
        <w:t xml:space="preserve"> (Payment of Convenience Account)</w:t>
      </w:r>
      <w:r w:rsidRPr="008B5773">
        <w:rPr>
          <w:rFonts w:cs="Times New Roman"/>
          <w:szCs w:val="24"/>
        </w:rPr>
        <w:t>, and 113.208</w:t>
      </w:r>
      <w:r>
        <w:rPr>
          <w:rFonts w:cs="Times New Roman"/>
          <w:szCs w:val="24"/>
        </w:rPr>
        <w:t xml:space="preserve"> (Liability for Payment from Convenience Account)</w:t>
      </w:r>
      <w:r w:rsidRPr="008B5773">
        <w:rPr>
          <w:rFonts w:cs="Times New Roman"/>
          <w:szCs w:val="24"/>
        </w:rPr>
        <w:t>, Estates Code</w:t>
      </w:r>
      <w:r>
        <w:rPr>
          <w:rFonts w:cs="Times New Roman"/>
          <w:szCs w:val="24"/>
        </w:rPr>
        <w:t>.</w:t>
      </w:r>
    </w:p>
    <w:p w:rsidR="002B2A4E" w:rsidRDefault="002B2A4E" w:rsidP="008B5773">
      <w:pPr>
        <w:spacing w:after="0" w:line="240" w:lineRule="auto"/>
        <w:jc w:val="both"/>
        <w:rPr>
          <w:rFonts w:cs="Times New Roman"/>
          <w:szCs w:val="24"/>
        </w:rPr>
      </w:pPr>
    </w:p>
    <w:p w:rsidR="002B2A4E" w:rsidRDefault="002B2A4E" w:rsidP="008B5773">
      <w:pPr>
        <w:spacing w:after="0" w:line="240" w:lineRule="auto"/>
        <w:jc w:val="both"/>
        <w:rPr>
          <w:rFonts w:cs="Times New Roman"/>
          <w:szCs w:val="24"/>
        </w:rPr>
      </w:pPr>
      <w:r>
        <w:rPr>
          <w:rFonts w:cs="Times New Roman"/>
          <w:szCs w:val="24"/>
        </w:rPr>
        <w:t>SECTION 17. (a) Defines "convenience account" and "trust account."</w:t>
      </w:r>
    </w:p>
    <w:p w:rsidR="002B2A4E" w:rsidRDefault="002B2A4E" w:rsidP="008B5773">
      <w:pPr>
        <w:spacing w:after="0" w:line="240" w:lineRule="auto"/>
        <w:jc w:val="both"/>
        <w:rPr>
          <w:rFonts w:cs="Times New Roman"/>
          <w:szCs w:val="24"/>
        </w:rPr>
      </w:pPr>
    </w:p>
    <w:p w:rsidR="002B2A4E" w:rsidRDefault="002B2A4E" w:rsidP="002A2155">
      <w:pPr>
        <w:spacing w:after="0" w:line="240" w:lineRule="auto"/>
        <w:ind w:left="720"/>
        <w:jc w:val="both"/>
        <w:rPr>
          <w:rFonts w:cs="Times New Roman"/>
          <w:szCs w:val="24"/>
        </w:rPr>
      </w:pPr>
      <w:r>
        <w:rPr>
          <w:rFonts w:cs="Times New Roman"/>
          <w:szCs w:val="24"/>
        </w:rPr>
        <w:t>(b) Provides that the changes in law made by this Act, except as provided by Subsection (e), including the repeal by this Act of certain provisions of Chapter 113, Estates Code, apply only to a financial institution account opened on or after the effective date of this Act and a convenience account or trust account opened before the effective date of this Act with respect to which a financial institution has notified the party or parties to the account in writing that the financial institution has converted the account to a type of account, other than a convenience account or trust account.</w:t>
      </w:r>
    </w:p>
    <w:p w:rsidR="002B2A4E" w:rsidRDefault="002B2A4E" w:rsidP="002A2155">
      <w:pPr>
        <w:spacing w:after="0" w:line="240" w:lineRule="auto"/>
        <w:ind w:left="720"/>
        <w:jc w:val="both"/>
        <w:rPr>
          <w:rFonts w:cs="Times New Roman"/>
          <w:szCs w:val="24"/>
        </w:rPr>
      </w:pPr>
    </w:p>
    <w:p w:rsidR="002B2A4E" w:rsidRDefault="002B2A4E" w:rsidP="002A2155">
      <w:pPr>
        <w:spacing w:after="0" w:line="240" w:lineRule="auto"/>
        <w:ind w:left="720"/>
        <w:jc w:val="both"/>
        <w:rPr>
          <w:rFonts w:cs="Times New Roman"/>
          <w:szCs w:val="24"/>
        </w:rPr>
      </w:pPr>
      <w:r>
        <w:rPr>
          <w:rFonts w:cs="Times New Roman"/>
          <w:szCs w:val="24"/>
        </w:rPr>
        <w:t>(c) Provides that a certain convenience account or trust account is governed by the law in effect on the date the account was opened or last modified, and the former law is continued in effect until the earliest of certain dates.</w:t>
      </w:r>
    </w:p>
    <w:p w:rsidR="002B2A4E" w:rsidRDefault="002B2A4E" w:rsidP="002A2155">
      <w:pPr>
        <w:spacing w:after="0" w:line="240" w:lineRule="auto"/>
        <w:ind w:left="720"/>
        <w:jc w:val="both"/>
        <w:rPr>
          <w:rFonts w:cs="Times New Roman"/>
          <w:szCs w:val="24"/>
        </w:rPr>
      </w:pPr>
    </w:p>
    <w:p w:rsidR="002B2A4E" w:rsidRDefault="002B2A4E" w:rsidP="002A2155">
      <w:pPr>
        <w:spacing w:after="0" w:line="240" w:lineRule="auto"/>
        <w:ind w:left="720"/>
        <w:jc w:val="both"/>
        <w:rPr>
          <w:rFonts w:cs="Times New Roman"/>
          <w:szCs w:val="24"/>
        </w:rPr>
      </w:pPr>
      <w:r>
        <w:rPr>
          <w:rFonts w:cs="Times New Roman"/>
          <w:szCs w:val="24"/>
        </w:rPr>
        <w:t>(d) Provides that the repeal by this Act of provisions of Chapter 113, Estates Code, relating to trust accounts and convenience accounts does not affect the validity of any account or deposit agreement between a financial institution and a depositor or other person that is entered into before September 1, 2017.</w:t>
      </w:r>
    </w:p>
    <w:p w:rsidR="002B2A4E" w:rsidRDefault="002B2A4E" w:rsidP="002A2155">
      <w:pPr>
        <w:spacing w:after="0" w:line="240" w:lineRule="auto"/>
        <w:ind w:left="720"/>
        <w:jc w:val="both"/>
        <w:rPr>
          <w:rFonts w:cs="Times New Roman"/>
          <w:szCs w:val="24"/>
        </w:rPr>
      </w:pPr>
    </w:p>
    <w:p w:rsidR="002B2A4E" w:rsidRDefault="002B2A4E" w:rsidP="002A2155">
      <w:pPr>
        <w:spacing w:after="0" w:line="240" w:lineRule="auto"/>
        <w:ind w:left="720"/>
        <w:jc w:val="both"/>
        <w:rPr>
          <w:rFonts w:cs="Times New Roman"/>
          <w:szCs w:val="24"/>
        </w:rPr>
      </w:pPr>
      <w:r>
        <w:rPr>
          <w:rFonts w:cs="Times New Roman"/>
          <w:szCs w:val="24"/>
        </w:rPr>
        <w:t xml:space="preserve">(e) Provides that Section 113.053, Estates Code, as amended by this Act, applies only to a financial institution account opened or modified on or after the effective date of this Act. Provides that a financial institution account opened or modified before the effective date of this Act is governed by the law in effect on the date the account was opened or modified, and the former law is continued in effect for that purpose. </w:t>
      </w:r>
    </w:p>
    <w:p w:rsidR="002B2A4E" w:rsidRDefault="002B2A4E" w:rsidP="002A2155">
      <w:pPr>
        <w:spacing w:after="0" w:line="240" w:lineRule="auto"/>
        <w:jc w:val="both"/>
        <w:rPr>
          <w:rFonts w:cs="Times New Roman"/>
          <w:szCs w:val="24"/>
        </w:rPr>
      </w:pPr>
    </w:p>
    <w:p w:rsidR="002B2A4E" w:rsidRPr="006529C4" w:rsidRDefault="002B2A4E" w:rsidP="002A2155">
      <w:pPr>
        <w:spacing w:after="0" w:line="240" w:lineRule="auto"/>
        <w:jc w:val="both"/>
        <w:rPr>
          <w:rFonts w:cs="Times New Roman"/>
          <w:szCs w:val="24"/>
        </w:rPr>
      </w:pPr>
      <w:r>
        <w:rPr>
          <w:rFonts w:cs="Times New Roman"/>
          <w:szCs w:val="24"/>
        </w:rPr>
        <w:t>SECTION 18. Effective date: September 1, 2017.</w:t>
      </w:r>
    </w:p>
    <w:p w:rsidR="002B2A4E" w:rsidRPr="006529C4" w:rsidRDefault="002B2A4E" w:rsidP="00774EC7">
      <w:pPr>
        <w:spacing w:after="0" w:line="240" w:lineRule="auto"/>
        <w:jc w:val="both"/>
      </w:pPr>
    </w:p>
    <w:sectPr w:rsidR="002B2A4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BE" w:rsidRDefault="007408BE" w:rsidP="000F1DF9">
      <w:pPr>
        <w:spacing w:after="0" w:line="240" w:lineRule="auto"/>
      </w:pPr>
      <w:r>
        <w:separator/>
      </w:r>
    </w:p>
  </w:endnote>
  <w:endnote w:type="continuationSeparator" w:id="0">
    <w:p w:rsidR="007408BE" w:rsidRDefault="007408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08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A4E">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2A4E">
                <w:rPr>
                  <w:sz w:val="20"/>
                  <w:szCs w:val="20"/>
                </w:rPr>
                <w:t>C.S.H.B. 1954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2A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08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2A4E">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2A4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BE" w:rsidRDefault="007408BE" w:rsidP="000F1DF9">
      <w:pPr>
        <w:spacing w:after="0" w:line="240" w:lineRule="auto"/>
      </w:pPr>
      <w:r>
        <w:separator/>
      </w:r>
    </w:p>
  </w:footnote>
  <w:footnote w:type="continuationSeparator" w:id="0">
    <w:p w:rsidR="007408BE" w:rsidRDefault="007408B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7273"/>
    <w:multiLevelType w:val="multilevel"/>
    <w:tmpl w:val="F76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4092A"/>
    <w:multiLevelType w:val="multilevel"/>
    <w:tmpl w:val="93D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A4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08BE"/>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A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A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4B9B" w:rsidP="00204B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6B40D2FF014370A6DA27FB28AFE55D"/>
        <w:category>
          <w:name w:val="General"/>
          <w:gallery w:val="placeholder"/>
        </w:category>
        <w:types>
          <w:type w:val="bbPlcHdr"/>
        </w:types>
        <w:behaviors>
          <w:behavior w:val="content"/>
        </w:behaviors>
        <w:guid w:val="{FACA8248-A2B3-4218-AFE9-E9B9E3F17428}"/>
      </w:docPartPr>
      <w:docPartBody>
        <w:p w:rsidR="00000000" w:rsidRDefault="00DD7E38"/>
      </w:docPartBody>
    </w:docPart>
    <w:docPart>
      <w:docPartPr>
        <w:name w:val="FBE5E1499226442DA0D738BECC3D2A06"/>
        <w:category>
          <w:name w:val="General"/>
          <w:gallery w:val="placeholder"/>
        </w:category>
        <w:types>
          <w:type w:val="bbPlcHdr"/>
        </w:types>
        <w:behaviors>
          <w:behavior w:val="content"/>
        </w:behaviors>
        <w:guid w:val="{2D315AB9-FCA7-4EE9-93D9-03E5BA96C82A}"/>
      </w:docPartPr>
      <w:docPartBody>
        <w:p w:rsidR="00000000" w:rsidRDefault="00DD7E38"/>
      </w:docPartBody>
    </w:docPart>
    <w:docPart>
      <w:docPartPr>
        <w:name w:val="B265F47D70F74089A8A0364BB189029A"/>
        <w:category>
          <w:name w:val="General"/>
          <w:gallery w:val="placeholder"/>
        </w:category>
        <w:types>
          <w:type w:val="bbPlcHdr"/>
        </w:types>
        <w:behaviors>
          <w:behavior w:val="content"/>
        </w:behaviors>
        <w:guid w:val="{652C5D60-11C5-41E0-9692-16A1C3E7640F}"/>
      </w:docPartPr>
      <w:docPartBody>
        <w:p w:rsidR="00000000" w:rsidRDefault="00DD7E38"/>
      </w:docPartBody>
    </w:docPart>
    <w:docPart>
      <w:docPartPr>
        <w:name w:val="2ADD0CC8D62D4364B451E0378DA0B4AC"/>
        <w:category>
          <w:name w:val="General"/>
          <w:gallery w:val="placeholder"/>
        </w:category>
        <w:types>
          <w:type w:val="bbPlcHdr"/>
        </w:types>
        <w:behaviors>
          <w:behavior w:val="content"/>
        </w:behaviors>
        <w:guid w:val="{DF7CA5B2-8A75-484A-B149-13343C66CAC0}"/>
      </w:docPartPr>
      <w:docPartBody>
        <w:p w:rsidR="00000000" w:rsidRDefault="00DD7E38"/>
      </w:docPartBody>
    </w:docPart>
    <w:docPart>
      <w:docPartPr>
        <w:name w:val="04868241065D48839BE471BE1127BDFE"/>
        <w:category>
          <w:name w:val="General"/>
          <w:gallery w:val="placeholder"/>
        </w:category>
        <w:types>
          <w:type w:val="bbPlcHdr"/>
        </w:types>
        <w:behaviors>
          <w:behavior w:val="content"/>
        </w:behaviors>
        <w:guid w:val="{F3753084-A56D-4768-B5B1-05942256253A}"/>
      </w:docPartPr>
      <w:docPartBody>
        <w:p w:rsidR="00000000" w:rsidRDefault="00DD7E38"/>
      </w:docPartBody>
    </w:docPart>
    <w:docPart>
      <w:docPartPr>
        <w:name w:val="59139B24C86240498BF4CC040FE9C3E5"/>
        <w:category>
          <w:name w:val="General"/>
          <w:gallery w:val="placeholder"/>
        </w:category>
        <w:types>
          <w:type w:val="bbPlcHdr"/>
        </w:types>
        <w:behaviors>
          <w:behavior w:val="content"/>
        </w:behaviors>
        <w:guid w:val="{164D4E79-E8D5-4A49-9A0C-F42B44901DFA}"/>
      </w:docPartPr>
      <w:docPartBody>
        <w:p w:rsidR="00000000" w:rsidRDefault="00DD7E38"/>
      </w:docPartBody>
    </w:docPart>
    <w:docPart>
      <w:docPartPr>
        <w:name w:val="48CC4CE69BA044A794AA16738CE8C0F9"/>
        <w:category>
          <w:name w:val="General"/>
          <w:gallery w:val="placeholder"/>
        </w:category>
        <w:types>
          <w:type w:val="bbPlcHdr"/>
        </w:types>
        <w:behaviors>
          <w:behavior w:val="content"/>
        </w:behaviors>
        <w:guid w:val="{486FE9B4-CE20-488D-ACDE-175BB29E0AB1}"/>
      </w:docPartPr>
      <w:docPartBody>
        <w:p w:rsidR="00000000" w:rsidRDefault="00DD7E38"/>
      </w:docPartBody>
    </w:docPart>
    <w:docPart>
      <w:docPartPr>
        <w:name w:val="074391EB721F444F8F63F6DD7F982C01"/>
        <w:category>
          <w:name w:val="General"/>
          <w:gallery w:val="placeholder"/>
        </w:category>
        <w:types>
          <w:type w:val="bbPlcHdr"/>
        </w:types>
        <w:behaviors>
          <w:behavior w:val="content"/>
        </w:behaviors>
        <w:guid w:val="{0F41327A-767B-4EAF-AECA-9835186DA46E}"/>
      </w:docPartPr>
      <w:docPartBody>
        <w:p w:rsidR="00000000" w:rsidRDefault="00DD7E38"/>
      </w:docPartBody>
    </w:docPart>
    <w:docPart>
      <w:docPartPr>
        <w:name w:val="6B550B6191244984A32149C156D258E1"/>
        <w:category>
          <w:name w:val="General"/>
          <w:gallery w:val="placeholder"/>
        </w:category>
        <w:types>
          <w:type w:val="bbPlcHdr"/>
        </w:types>
        <w:behaviors>
          <w:behavior w:val="content"/>
        </w:behaviors>
        <w:guid w:val="{2DF734F9-C0A9-4AC7-8505-34DA1B2ED9EC}"/>
      </w:docPartPr>
      <w:docPartBody>
        <w:p w:rsidR="00000000" w:rsidRDefault="00204B9B" w:rsidP="00204B9B">
          <w:pPr>
            <w:pStyle w:val="6B550B6191244984A32149C156D258E1"/>
          </w:pPr>
          <w:r w:rsidRPr="00A30DD1">
            <w:rPr>
              <w:rStyle w:val="PlaceholderText"/>
            </w:rPr>
            <w:t>Click here to enter a date.</w:t>
          </w:r>
        </w:p>
      </w:docPartBody>
    </w:docPart>
    <w:docPart>
      <w:docPartPr>
        <w:name w:val="1803AEA7584E4C468592FA07BB4AB74D"/>
        <w:category>
          <w:name w:val="General"/>
          <w:gallery w:val="placeholder"/>
        </w:category>
        <w:types>
          <w:type w:val="bbPlcHdr"/>
        </w:types>
        <w:behaviors>
          <w:behavior w:val="content"/>
        </w:behaviors>
        <w:guid w:val="{61338372-DF91-453F-930D-754916DEA632}"/>
      </w:docPartPr>
      <w:docPartBody>
        <w:p w:rsidR="00000000" w:rsidRDefault="00DD7E38"/>
      </w:docPartBody>
    </w:docPart>
    <w:docPart>
      <w:docPartPr>
        <w:name w:val="85DCF3C25B54479D8F83A51D4EB534E9"/>
        <w:category>
          <w:name w:val="General"/>
          <w:gallery w:val="placeholder"/>
        </w:category>
        <w:types>
          <w:type w:val="bbPlcHdr"/>
        </w:types>
        <w:behaviors>
          <w:behavior w:val="content"/>
        </w:behaviors>
        <w:guid w:val="{69B18777-CC16-4A26-A5A7-35D76F894063}"/>
      </w:docPartPr>
      <w:docPartBody>
        <w:p w:rsidR="00000000" w:rsidRDefault="00DD7E38"/>
      </w:docPartBody>
    </w:docPart>
    <w:docPart>
      <w:docPartPr>
        <w:name w:val="4965979CDE8F4DE28018BAB1F58BBA91"/>
        <w:category>
          <w:name w:val="General"/>
          <w:gallery w:val="placeholder"/>
        </w:category>
        <w:types>
          <w:type w:val="bbPlcHdr"/>
        </w:types>
        <w:behaviors>
          <w:behavior w:val="content"/>
        </w:behaviors>
        <w:guid w:val="{4FFDD94C-4E6F-4D3A-9033-272444FD1D3C}"/>
      </w:docPartPr>
      <w:docPartBody>
        <w:p w:rsidR="00000000" w:rsidRDefault="00204B9B" w:rsidP="00204B9B">
          <w:pPr>
            <w:pStyle w:val="4965979CDE8F4DE28018BAB1F58BBA91"/>
          </w:pPr>
          <w:r>
            <w:rPr>
              <w:rFonts w:eastAsia="Times New Roman" w:cs="Times New Roman"/>
              <w:bCs/>
              <w:szCs w:val="24"/>
            </w:rPr>
            <w:t xml:space="preserve"> </w:t>
          </w:r>
        </w:p>
      </w:docPartBody>
    </w:docPart>
    <w:docPart>
      <w:docPartPr>
        <w:name w:val="BF6AB56E33B44BEDA74E0C61DAA45469"/>
        <w:category>
          <w:name w:val="General"/>
          <w:gallery w:val="placeholder"/>
        </w:category>
        <w:types>
          <w:type w:val="bbPlcHdr"/>
        </w:types>
        <w:behaviors>
          <w:behavior w:val="content"/>
        </w:behaviors>
        <w:guid w:val="{7890E2A6-A4F4-4756-84A3-DE9839E1FEE4}"/>
      </w:docPartPr>
      <w:docPartBody>
        <w:p w:rsidR="00000000" w:rsidRDefault="00DD7E38"/>
      </w:docPartBody>
    </w:docPart>
    <w:docPart>
      <w:docPartPr>
        <w:name w:val="653067BE4597465D862C7F15CE0266D6"/>
        <w:category>
          <w:name w:val="General"/>
          <w:gallery w:val="placeholder"/>
        </w:category>
        <w:types>
          <w:type w:val="bbPlcHdr"/>
        </w:types>
        <w:behaviors>
          <w:behavior w:val="content"/>
        </w:behaviors>
        <w:guid w:val="{EF0AC803-3477-49AB-8953-9530438B280B}"/>
      </w:docPartPr>
      <w:docPartBody>
        <w:p w:rsidR="00000000" w:rsidRDefault="00DD7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4B9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7E3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B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4B9B"/>
    <w:rPr>
      <w:rFonts w:ascii="Times New Roman" w:hAnsi="Times New Roman"/>
      <w:sz w:val="24"/>
    </w:rPr>
  </w:style>
  <w:style w:type="paragraph" w:customStyle="1" w:styleId="487D89B4F8B34DB4967D41FE18F7F88D7">
    <w:name w:val="487D89B4F8B34DB4967D41FE18F7F88D7"/>
    <w:rsid w:val="00204B9B"/>
    <w:rPr>
      <w:rFonts w:ascii="Times New Roman" w:hAnsi="Times New Roman"/>
      <w:sz w:val="24"/>
    </w:rPr>
  </w:style>
  <w:style w:type="paragraph" w:customStyle="1" w:styleId="AE2570ED5D764CD7AF9686706F550F4620">
    <w:name w:val="AE2570ED5D764CD7AF9686706F550F4620"/>
    <w:rsid w:val="00204B9B"/>
    <w:pPr>
      <w:tabs>
        <w:tab w:val="center" w:pos="4680"/>
        <w:tab w:val="right" w:pos="9360"/>
      </w:tabs>
      <w:spacing w:after="0" w:line="240" w:lineRule="auto"/>
    </w:pPr>
    <w:rPr>
      <w:rFonts w:ascii="Times New Roman" w:hAnsi="Times New Roman"/>
      <w:sz w:val="24"/>
    </w:rPr>
  </w:style>
  <w:style w:type="paragraph" w:customStyle="1" w:styleId="6B550B6191244984A32149C156D258E1">
    <w:name w:val="6B550B6191244984A32149C156D258E1"/>
    <w:rsid w:val="00204B9B"/>
  </w:style>
  <w:style w:type="paragraph" w:customStyle="1" w:styleId="4965979CDE8F4DE28018BAB1F58BBA91">
    <w:name w:val="4965979CDE8F4DE28018BAB1F58BBA91"/>
    <w:rsid w:val="00204B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B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4B9B"/>
    <w:rPr>
      <w:rFonts w:ascii="Times New Roman" w:hAnsi="Times New Roman"/>
      <w:sz w:val="24"/>
    </w:rPr>
  </w:style>
  <w:style w:type="paragraph" w:customStyle="1" w:styleId="487D89B4F8B34DB4967D41FE18F7F88D7">
    <w:name w:val="487D89B4F8B34DB4967D41FE18F7F88D7"/>
    <w:rsid w:val="00204B9B"/>
    <w:rPr>
      <w:rFonts w:ascii="Times New Roman" w:hAnsi="Times New Roman"/>
      <w:sz w:val="24"/>
    </w:rPr>
  </w:style>
  <w:style w:type="paragraph" w:customStyle="1" w:styleId="AE2570ED5D764CD7AF9686706F550F4620">
    <w:name w:val="AE2570ED5D764CD7AF9686706F550F4620"/>
    <w:rsid w:val="00204B9B"/>
    <w:pPr>
      <w:tabs>
        <w:tab w:val="center" w:pos="4680"/>
        <w:tab w:val="right" w:pos="9360"/>
      </w:tabs>
      <w:spacing w:after="0" w:line="240" w:lineRule="auto"/>
    </w:pPr>
    <w:rPr>
      <w:rFonts w:ascii="Times New Roman" w:hAnsi="Times New Roman"/>
      <w:sz w:val="24"/>
    </w:rPr>
  </w:style>
  <w:style w:type="paragraph" w:customStyle="1" w:styleId="6B550B6191244984A32149C156D258E1">
    <w:name w:val="6B550B6191244984A32149C156D258E1"/>
    <w:rsid w:val="00204B9B"/>
  </w:style>
  <w:style w:type="paragraph" w:customStyle="1" w:styleId="4965979CDE8F4DE28018BAB1F58BBA91">
    <w:name w:val="4965979CDE8F4DE28018BAB1F58BBA91"/>
    <w:rsid w:val="00204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B23FD1-9D60-499C-8E11-E9981063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2245</Words>
  <Characters>12803</Characters>
  <Application>Microsoft Office Word</Application>
  <DocSecurity>0</DocSecurity>
  <Lines>106</Lines>
  <Paragraphs>30</Paragraphs>
  <ScaleCrop>false</ScaleCrop>
  <Company>Texas Legislative Council</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2017-05-18T20:17:00Z</cp:lastPrinted>
  <dcterms:created xsi:type="dcterms:W3CDTF">2015-05-29T14:24:00Z</dcterms:created>
  <dcterms:modified xsi:type="dcterms:W3CDTF">2017-05-18T20:17:00Z</dcterms:modified>
</cp:coreProperties>
</file>

<file path=docProps/custom.xml><?xml version="1.0" encoding="utf-8"?>
<op:Properties xmlns:vt="http://schemas.openxmlformats.org/officeDocument/2006/docPropsVTypes" xmlns:op="http://schemas.openxmlformats.org/officeDocument/2006/custom-properties"/>
</file>