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7D58" w:rsidTr="00345119">
        <w:tc>
          <w:tcPr>
            <w:tcW w:w="9576" w:type="dxa"/>
            <w:noWrap/>
          </w:tcPr>
          <w:p w:rsidR="008423E4" w:rsidRPr="0022177D" w:rsidRDefault="006071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71AC" w:rsidP="008423E4">
      <w:pPr>
        <w:jc w:val="center"/>
      </w:pPr>
    </w:p>
    <w:p w:rsidR="008423E4" w:rsidRPr="00B31F0E" w:rsidRDefault="006071AC" w:rsidP="008423E4"/>
    <w:p w:rsidR="008423E4" w:rsidRPr="00742794" w:rsidRDefault="006071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7D58" w:rsidTr="00345119">
        <w:tc>
          <w:tcPr>
            <w:tcW w:w="9576" w:type="dxa"/>
          </w:tcPr>
          <w:p w:rsidR="008423E4" w:rsidRPr="00861995" w:rsidRDefault="006071AC" w:rsidP="00345119">
            <w:pPr>
              <w:jc w:val="right"/>
            </w:pPr>
            <w:r>
              <w:t>H.B. 1966</w:t>
            </w:r>
          </w:p>
        </w:tc>
      </w:tr>
      <w:tr w:rsidR="00757D58" w:rsidTr="00345119">
        <w:tc>
          <w:tcPr>
            <w:tcW w:w="9576" w:type="dxa"/>
          </w:tcPr>
          <w:p w:rsidR="008423E4" w:rsidRPr="00861995" w:rsidRDefault="006071AC" w:rsidP="00367FF8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757D58" w:rsidTr="00345119">
        <w:tc>
          <w:tcPr>
            <w:tcW w:w="9576" w:type="dxa"/>
          </w:tcPr>
          <w:p w:rsidR="008423E4" w:rsidRPr="00861995" w:rsidRDefault="006071AC" w:rsidP="00345119">
            <w:pPr>
              <w:jc w:val="right"/>
            </w:pPr>
            <w:r>
              <w:t>Business &amp; Industry</w:t>
            </w:r>
          </w:p>
        </w:tc>
      </w:tr>
      <w:tr w:rsidR="00757D58" w:rsidTr="00345119">
        <w:tc>
          <w:tcPr>
            <w:tcW w:w="9576" w:type="dxa"/>
          </w:tcPr>
          <w:p w:rsidR="008423E4" w:rsidRDefault="006071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71AC" w:rsidP="008423E4">
      <w:pPr>
        <w:tabs>
          <w:tab w:val="right" w:pos="9360"/>
        </w:tabs>
      </w:pPr>
    </w:p>
    <w:p w:rsidR="008423E4" w:rsidRDefault="006071AC" w:rsidP="008423E4"/>
    <w:p w:rsidR="008423E4" w:rsidRDefault="006071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7D58" w:rsidTr="00345119">
        <w:tc>
          <w:tcPr>
            <w:tcW w:w="9576" w:type="dxa"/>
          </w:tcPr>
          <w:p w:rsidR="008423E4" w:rsidRPr="00A8133F" w:rsidRDefault="006071AC" w:rsidP="00E42F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71AC" w:rsidP="00E42F8F"/>
          <w:p w:rsidR="008423E4" w:rsidRDefault="006071AC" w:rsidP="00E42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point to a legal loophole that allows an apartment complex or condo community to </w:t>
            </w:r>
            <w:r>
              <w:t xml:space="preserve">prohibit handguns </w:t>
            </w:r>
            <w:r>
              <w:t xml:space="preserve">in common areas, </w:t>
            </w:r>
            <w:r>
              <w:t xml:space="preserve">making </w:t>
            </w:r>
            <w:r>
              <w:t xml:space="preserve">it impossible for </w:t>
            </w:r>
            <w:r>
              <w:t xml:space="preserve">a </w:t>
            </w:r>
            <w:r>
              <w:t xml:space="preserve">license holder </w:t>
            </w:r>
            <w:r>
              <w:t xml:space="preserve">who lives </w:t>
            </w:r>
            <w:r>
              <w:t>at</w:t>
            </w:r>
            <w:r>
              <w:t xml:space="preserve"> the property</w:t>
            </w:r>
            <w:r>
              <w:t xml:space="preserve"> or a guest of</w:t>
            </w:r>
            <w:r>
              <w:t xml:space="preserve"> </w:t>
            </w:r>
            <w:r>
              <w:t xml:space="preserve">a person who lives at such a property </w:t>
            </w:r>
            <w:r>
              <w:t>t</w:t>
            </w:r>
            <w:r>
              <w:t xml:space="preserve">o legally carry </w:t>
            </w:r>
            <w:r>
              <w:t xml:space="preserve">when entering or exiting </w:t>
            </w:r>
            <w:r>
              <w:t>the place of residence</w:t>
            </w:r>
            <w:r>
              <w:t>.</w:t>
            </w:r>
            <w:r>
              <w:t xml:space="preserve"> </w:t>
            </w:r>
            <w:r>
              <w:t xml:space="preserve">H.B. 1966 seeks to address this loophole by prohibiting </w:t>
            </w:r>
            <w:r>
              <w:t>certain such</w:t>
            </w:r>
            <w:r>
              <w:t xml:space="preserve"> </w:t>
            </w:r>
            <w:r>
              <w:t>l</w:t>
            </w:r>
            <w:r>
              <w:t>icense holder</w:t>
            </w:r>
            <w:r>
              <w:t>s</w:t>
            </w:r>
            <w:r>
              <w:t xml:space="preserve"> </w:t>
            </w:r>
            <w:r>
              <w:t xml:space="preserve">from being prohibited </w:t>
            </w:r>
            <w:r>
              <w:t>from</w:t>
            </w:r>
            <w:r>
              <w:t xml:space="preserve"> carry</w:t>
            </w:r>
            <w:r>
              <w:t>ing</w:t>
            </w:r>
            <w:r>
              <w:t xml:space="preserve"> </w:t>
            </w:r>
            <w:r>
              <w:t xml:space="preserve">a concealed handgun in </w:t>
            </w:r>
            <w:r>
              <w:t>the</w:t>
            </w:r>
            <w:r>
              <w:t xml:space="preserve"> common area </w:t>
            </w:r>
            <w:r>
              <w:t xml:space="preserve">of a condominium property or multifamily property </w:t>
            </w:r>
            <w:r>
              <w:t>under certain circumstances</w:t>
            </w:r>
            <w:r>
              <w:t>.</w:t>
            </w:r>
          </w:p>
          <w:p w:rsidR="00E42F8F" w:rsidRPr="00E26B13" w:rsidRDefault="006071AC" w:rsidP="00E42F8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57D58" w:rsidTr="00345119">
        <w:tc>
          <w:tcPr>
            <w:tcW w:w="9576" w:type="dxa"/>
          </w:tcPr>
          <w:p w:rsidR="0017725B" w:rsidRDefault="006071AC" w:rsidP="00E42F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71AC" w:rsidP="00E42F8F">
            <w:pPr>
              <w:rPr>
                <w:b/>
                <w:u w:val="single"/>
              </w:rPr>
            </w:pPr>
          </w:p>
          <w:p w:rsidR="00C416DD" w:rsidRPr="00C416DD" w:rsidRDefault="006071AC" w:rsidP="00E42F8F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071AC" w:rsidP="00E42F8F">
            <w:pPr>
              <w:rPr>
                <w:b/>
                <w:u w:val="single"/>
              </w:rPr>
            </w:pPr>
          </w:p>
        </w:tc>
      </w:tr>
      <w:tr w:rsidR="00757D58" w:rsidTr="00345119">
        <w:tc>
          <w:tcPr>
            <w:tcW w:w="9576" w:type="dxa"/>
          </w:tcPr>
          <w:p w:rsidR="008423E4" w:rsidRPr="00A8133F" w:rsidRDefault="006071AC" w:rsidP="00E42F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71AC" w:rsidP="00E42F8F"/>
          <w:p w:rsidR="00C416DD" w:rsidRDefault="006071AC" w:rsidP="00E42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6071AC" w:rsidP="00E42F8F">
            <w:pPr>
              <w:rPr>
                <w:b/>
              </w:rPr>
            </w:pPr>
          </w:p>
        </w:tc>
      </w:tr>
      <w:tr w:rsidR="00757D58" w:rsidTr="00345119">
        <w:tc>
          <w:tcPr>
            <w:tcW w:w="9576" w:type="dxa"/>
          </w:tcPr>
          <w:p w:rsidR="008423E4" w:rsidRPr="00A8133F" w:rsidRDefault="006071AC" w:rsidP="00E42F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71AC" w:rsidP="00E42F8F"/>
          <w:p w:rsidR="008423E4" w:rsidRDefault="006071AC" w:rsidP="00E42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1966 amends the Property Code to prohibit a condominium </w:t>
            </w:r>
            <w:r>
              <w:t xml:space="preserve">unit </w:t>
            </w:r>
            <w:r>
              <w:t xml:space="preserve">owner, a tenant or guest of a condominium unit owner, or a guest of a tenant of a condominium unit owner </w:t>
            </w:r>
            <w:r>
              <w:t xml:space="preserve">who holds a handgun license </w:t>
            </w:r>
            <w:r>
              <w:t xml:space="preserve">from being prohibited from carrying a concealed handgun on condominium </w:t>
            </w:r>
            <w:r>
              <w:t xml:space="preserve">property </w:t>
            </w:r>
            <w:r>
              <w:t xml:space="preserve">as necessary to enter the owner's unit, to </w:t>
            </w:r>
            <w:r>
              <w:t xml:space="preserve">exit the condominium property from the owner's unit, or to enter a vehicle on the condominium property. </w:t>
            </w:r>
            <w:r>
              <w:t>T</w:t>
            </w:r>
            <w:r>
              <w:t>his</w:t>
            </w:r>
            <w:r>
              <w:t xml:space="preserve"> prohibition </w:t>
            </w:r>
            <w:r>
              <w:t xml:space="preserve">applies </w:t>
            </w:r>
            <w:r>
              <w:t xml:space="preserve">to a provision of </w:t>
            </w:r>
            <w:r>
              <w:t xml:space="preserve">a condominium </w:t>
            </w:r>
            <w:r>
              <w:t>dedicatory instrument regardless of the date of the provision's adoption.</w:t>
            </w:r>
            <w:r>
              <w:t xml:space="preserve"> </w:t>
            </w:r>
          </w:p>
          <w:p w:rsidR="00A772DC" w:rsidRDefault="006071AC" w:rsidP="00E42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772DC" w:rsidRDefault="006071AC" w:rsidP="00E42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1966</w:t>
            </w:r>
            <w:r>
              <w:t xml:space="preserve"> prohibit</w:t>
            </w:r>
            <w:r>
              <w:t>s</w:t>
            </w:r>
            <w:r>
              <w:t xml:space="preserve"> </w:t>
            </w:r>
            <w:r>
              <w:t xml:space="preserve">a landlord </w:t>
            </w:r>
            <w:r>
              <w:t xml:space="preserve">from </w:t>
            </w:r>
            <w:r>
              <w:t>prohibit</w:t>
            </w:r>
            <w:r>
              <w:t>ing</w:t>
            </w:r>
            <w:r>
              <w:t xml:space="preserve"> a tenant or tenant's guest</w:t>
            </w:r>
            <w:r>
              <w:t xml:space="preserve"> who holds a handgun license</w:t>
            </w:r>
            <w:r>
              <w:t xml:space="preserve"> from carrying a concealed handgun</w:t>
            </w:r>
            <w:r>
              <w:t xml:space="preserve"> on the leased </w:t>
            </w:r>
            <w:r w:rsidRPr="00C416DD">
              <w:t>premises of a multifamily property as necessary to enter the tenant's dwelling unit, to exit the leased premises, or to ente</w:t>
            </w:r>
            <w:r w:rsidRPr="00C416DD">
              <w:t>r a vehicle on the leased premises</w:t>
            </w:r>
            <w:r>
              <w:t xml:space="preserve"> unless possession of a handgun on </w:t>
            </w:r>
            <w:r>
              <w:t>the</w:t>
            </w:r>
            <w:r>
              <w:t xml:space="preserve"> landlord's property is prohibited by state or federal law</w:t>
            </w:r>
            <w:r w:rsidRPr="00C416DD">
              <w:t>.</w:t>
            </w:r>
            <w:r>
              <w:t xml:space="preserve"> </w:t>
            </w:r>
            <w:r>
              <w:t>This prohibition does not affect the enforceability of a provision in a lease entered into or renewed before the bill's effe</w:t>
            </w:r>
            <w:r>
              <w:t>ctive date.</w:t>
            </w:r>
          </w:p>
          <w:p w:rsidR="008423E4" w:rsidRPr="00835628" w:rsidRDefault="006071AC" w:rsidP="00E42F8F">
            <w:pPr>
              <w:rPr>
                <w:b/>
              </w:rPr>
            </w:pPr>
          </w:p>
        </w:tc>
      </w:tr>
      <w:tr w:rsidR="00757D58" w:rsidTr="00345119">
        <w:tc>
          <w:tcPr>
            <w:tcW w:w="9576" w:type="dxa"/>
          </w:tcPr>
          <w:p w:rsidR="008423E4" w:rsidRPr="00A8133F" w:rsidRDefault="006071AC" w:rsidP="00E42F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71AC" w:rsidP="00E42F8F"/>
          <w:p w:rsidR="008423E4" w:rsidRPr="003624F2" w:rsidRDefault="006071AC" w:rsidP="00E42F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071AC" w:rsidP="00E42F8F">
            <w:pPr>
              <w:rPr>
                <w:b/>
              </w:rPr>
            </w:pPr>
          </w:p>
        </w:tc>
      </w:tr>
    </w:tbl>
    <w:p w:rsidR="008423E4" w:rsidRPr="00BE0E75" w:rsidRDefault="006071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71A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1AC">
      <w:r>
        <w:separator/>
      </w:r>
    </w:p>
  </w:endnote>
  <w:endnote w:type="continuationSeparator" w:id="0">
    <w:p w:rsidR="00000000" w:rsidRDefault="0060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7D58" w:rsidTr="009C1E9A">
      <w:trPr>
        <w:cantSplit/>
      </w:trPr>
      <w:tc>
        <w:tcPr>
          <w:tcW w:w="0" w:type="pct"/>
        </w:tcPr>
        <w:p w:rsidR="00137D90" w:rsidRDefault="006071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71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71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71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71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7D58" w:rsidTr="009C1E9A">
      <w:trPr>
        <w:cantSplit/>
      </w:trPr>
      <w:tc>
        <w:tcPr>
          <w:tcW w:w="0" w:type="pct"/>
        </w:tcPr>
        <w:p w:rsidR="00EC379B" w:rsidRDefault="006071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71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23435</w:t>
          </w:r>
        </w:p>
      </w:tc>
      <w:tc>
        <w:tcPr>
          <w:tcW w:w="2453" w:type="pct"/>
        </w:tcPr>
        <w:p w:rsidR="00EC379B" w:rsidRDefault="006071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17.103.363</w:t>
          </w:r>
          <w:r>
            <w:fldChar w:fldCharType="end"/>
          </w:r>
        </w:p>
      </w:tc>
    </w:tr>
    <w:tr w:rsidR="00757D58" w:rsidTr="009C1E9A">
      <w:trPr>
        <w:cantSplit/>
      </w:trPr>
      <w:tc>
        <w:tcPr>
          <w:tcW w:w="0" w:type="pct"/>
        </w:tcPr>
        <w:p w:rsidR="00EC379B" w:rsidRDefault="006071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71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71AC" w:rsidP="006D504F">
          <w:pPr>
            <w:pStyle w:val="Footer"/>
            <w:rPr>
              <w:rStyle w:val="PageNumber"/>
            </w:rPr>
          </w:pPr>
        </w:p>
        <w:p w:rsidR="00EC379B" w:rsidRDefault="006071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7D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71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71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71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1AC">
      <w:r>
        <w:separator/>
      </w:r>
    </w:p>
  </w:footnote>
  <w:footnote w:type="continuationSeparator" w:id="0">
    <w:p w:rsidR="00000000" w:rsidRDefault="0060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58"/>
    <w:rsid w:val="006071AC"/>
    <w:rsid w:val="007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72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2DC"/>
  </w:style>
  <w:style w:type="paragraph" w:styleId="CommentSubject">
    <w:name w:val="annotation subject"/>
    <w:basedOn w:val="CommentText"/>
    <w:next w:val="CommentText"/>
    <w:link w:val="CommentSubjectChar"/>
    <w:rsid w:val="00A7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7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72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2DC"/>
  </w:style>
  <w:style w:type="paragraph" w:styleId="CommentSubject">
    <w:name w:val="annotation subject"/>
    <w:basedOn w:val="CommentText"/>
    <w:next w:val="CommentText"/>
    <w:link w:val="CommentSubjectChar"/>
    <w:rsid w:val="00A7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1923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HB01966 (Committee Report (Unamended))</vt:lpstr>
    </vt:vector>
  </TitlesOfParts>
  <Company>State of Texas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23435</dc:subject>
  <dc:creator>State of Texas</dc:creator>
  <dc:description>HB 1966 by Paul-(H)Business &amp; Industry</dc:description>
  <cp:lastModifiedBy>Alexander McMillan</cp:lastModifiedBy>
  <cp:revision>2</cp:revision>
  <cp:lastPrinted>2017-04-13T18:03:00Z</cp:lastPrinted>
  <dcterms:created xsi:type="dcterms:W3CDTF">2017-04-21T23:12:00Z</dcterms:created>
  <dcterms:modified xsi:type="dcterms:W3CDTF">2017-04-21T23:12:00Z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17.103.363</vt:lpwstr>
  </property>
</Properties>
</file>