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3674F6" w:rsidTr="00345119">
        <w:tc>
          <w:tcPr>
            <w:tcW w:w="9576" w:type="dxa"/>
            <w:noWrap/>
          </w:tcPr>
          <w:p w:rsidR="008423E4" w:rsidRPr="0022177D" w:rsidRDefault="00D87EC8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D87EC8" w:rsidP="008423E4">
      <w:pPr>
        <w:jc w:val="center"/>
      </w:pPr>
    </w:p>
    <w:p w:rsidR="008423E4" w:rsidRPr="00B31F0E" w:rsidRDefault="00D87EC8" w:rsidP="008423E4"/>
    <w:p w:rsidR="008423E4" w:rsidRPr="00742794" w:rsidRDefault="00D87EC8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674F6" w:rsidTr="00345119">
        <w:tc>
          <w:tcPr>
            <w:tcW w:w="9576" w:type="dxa"/>
          </w:tcPr>
          <w:p w:rsidR="008423E4" w:rsidRPr="00861995" w:rsidRDefault="00D87EC8" w:rsidP="00345119">
            <w:pPr>
              <w:jc w:val="right"/>
            </w:pPr>
            <w:r>
              <w:t>C.S.H.B. 2009</w:t>
            </w:r>
          </w:p>
        </w:tc>
      </w:tr>
      <w:tr w:rsidR="003674F6" w:rsidTr="00345119">
        <w:tc>
          <w:tcPr>
            <w:tcW w:w="9576" w:type="dxa"/>
          </w:tcPr>
          <w:p w:rsidR="008423E4" w:rsidRPr="00861995" w:rsidRDefault="00D87EC8" w:rsidP="00681988">
            <w:pPr>
              <w:jc w:val="right"/>
            </w:pPr>
            <w:r>
              <w:t xml:space="preserve">By: </w:t>
            </w:r>
            <w:r>
              <w:t>Bonnen, Greg</w:t>
            </w:r>
          </w:p>
        </w:tc>
      </w:tr>
      <w:tr w:rsidR="003674F6" w:rsidTr="00345119">
        <w:tc>
          <w:tcPr>
            <w:tcW w:w="9576" w:type="dxa"/>
          </w:tcPr>
          <w:p w:rsidR="008423E4" w:rsidRPr="00861995" w:rsidRDefault="00D87EC8" w:rsidP="00345119">
            <w:pPr>
              <w:jc w:val="right"/>
            </w:pPr>
            <w:r>
              <w:t>Culture, Recreation &amp; Tourism</w:t>
            </w:r>
          </w:p>
        </w:tc>
      </w:tr>
      <w:tr w:rsidR="003674F6" w:rsidTr="00345119">
        <w:tc>
          <w:tcPr>
            <w:tcW w:w="9576" w:type="dxa"/>
          </w:tcPr>
          <w:p w:rsidR="008423E4" w:rsidRDefault="00D87EC8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D87EC8" w:rsidP="008423E4">
      <w:pPr>
        <w:tabs>
          <w:tab w:val="right" w:pos="9360"/>
        </w:tabs>
      </w:pPr>
    </w:p>
    <w:p w:rsidR="008423E4" w:rsidRDefault="00D87EC8" w:rsidP="008423E4"/>
    <w:p w:rsidR="008423E4" w:rsidRDefault="00D87EC8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90"/>
      </w:tblGrid>
      <w:tr w:rsidR="003674F6" w:rsidTr="00681988">
        <w:tc>
          <w:tcPr>
            <w:tcW w:w="9582" w:type="dxa"/>
          </w:tcPr>
          <w:p w:rsidR="008423E4" w:rsidRPr="00A8133F" w:rsidRDefault="00D87EC8" w:rsidP="00FE206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D87EC8" w:rsidP="00FE206E"/>
          <w:p w:rsidR="008423E4" w:rsidRDefault="00D87EC8" w:rsidP="00FE20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Interested parties contend that the exemption </w:t>
            </w:r>
            <w:r w:rsidRPr="007D5802">
              <w:t xml:space="preserve">for certain current and former military personnel from </w:t>
            </w:r>
            <w:r>
              <w:t>certain</w:t>
            </w:r>
            <w:r w:rsidRPr="007D5802">
              <w:t xml:space="preserve"> requirement</w:t>
            </w:r>
            <w:r>
              <w:t>s</w:t>
            </w:r>
            <w:r w:rsidRPr="007D5802">
              <w:t xml:space="preserve"> under a state hunter education program</w:t>
            </w:r>
            <w:r>
              <w:t xml:space="preserve"> should be broaden</w:t>
            </w:r>
            <w:r>
              <w:t>ed</w:t>
            </w:r>
            <w:r>
              <w:t xml:space="preserve"> to include </w:t>
            </w:r>
            <w:r>
              <w:t>additional types of service members</w:t>
            </w:r>
            <w:r>
              <w:t xml:space="preserve">. </w:t>
            </w:r>
            <w:r>
              <w:t>C.S.</w:t>
            </w:r>
            <w:r>
              <w:t>H.B. 2009 seeks to address this issue by broadening such exemption.</w:t>
            </w:r>
          </w:p>
          <w:p w:rsidR="00052CB2" w:rsidRPr="00E26B13" w:rsidRDefault="00D87EC8" w:rsidP="00FE206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3674F6" w:rsidTr="00681988">
        <w:tc>
          <w:tcPr>
            <w:tcW w:w="9582" w:type="dxa"/>
          </w:tcPr>
          <w:p w:rsidR="0017725B" w:rsidRDefault="00D87EC8" w:rsidP="00FE206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D87EC8" w:rsidP="00FE206E">
            <w:pPr>
              <w:rPr>
                <w:b/>
                <w:u w:val="single"/>
              </w:rPr>
            </w:pPr>
          </w:p>
          <w:p w:rsidR="003F191A" w:rsidRPr="003F191A" w:rsidRDefault="00D87EC8" w:rsidP="00FE206E">
            <w:pPr>
              <w:jc w:val="both"/>
            </w:pPr>
            <w:r>
              <w:t>It is the committee's opinion that t</w:t>
            </w:r>
            <w:r>
              <w:t>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D87EC8" w:rsidP="00FE206E">
            <w:pPr>
              <w:rPr>
                <w:b/>
                <w:u w:val="single"/>
              </w:rPr>
            </w:pPr>
          </w:p>
        </w:tc>
      </w:tr>
      <w:tr w:rsidR="003674F6" w:rsidTr="00681988">
        <w:tc>
          <w:tcPr>
            <w:tcW w:w="9582" w:type="dxa"/>
          </w:tcPr>
          <w:p w:rsidR="008423E4" w:rsidRPr="00A8133F" w:rsidRDefault="00D87EC8" w:rsidP="00FE206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</w:t>
            </w:r>
            <w:r w:rsidRPr="009C1E9A">
              <w:rPr>
                <w:b/>
                <w:u w:val="single"/>
              </w:rPr>
              <w:t>TY</w:t>
            </w:r>
            <w:r>
              <w:rPr>
                <w:b/>
              </w:rPr>
              <w:t xml:space="preserve"> </w:t>
            </w:r>
          </w:p>
          <w:p w:rsidR="008423E4" w:rsidRDefault="00D87EC8" w:rsidP="00FE206E"/>
          <w:p w:rsidR="003F191A" w:rsidRDefault="00D87EC8" w:rsidP="00FE20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D87EC8" w:rsidP="00FE206E">
            <w:pPr>
              <w:rPr>
                <w:b/>
              </w:rPr>
            </w:pPr>
          </w:p>
        </w:tc>
      </w:tr>
      <w:tr w:rsidR="003674F6" w:rsidTr="00681988">
        <w:tc>
          <w:tcPr>
            <w:tcW w:w="9582" w:type="dxa"/>
          </w:tcPr>
          <w:p w:rsidR="008423E4" w:rsidRPr="00A8133F" w:rsidRDefault="00D87EC8" w:rsidP="00FE206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D87EC8" w:rsidP="00FE206E"/>
          <w:p w:rsidR="008423E4" w:rsidRDefault="00D87EC8" w:rsidP="00FE20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 xml:space="preserve">H.B. 2009 amends the </w:t>
            </w:r>
            <w:r w:rsidRPr="002F5020">
              <w:t>Parks and Wildlife Code</w:t>
            </w:r>
            <w:r>
              <w:t xml:space="preserve"> to </w:t>
            </w:r>
            <w:r>
              <w:t xml:space="preserve">broaden the exemption </w:t>
            </w:r>
            <w:r w:rsidRPr="00C43D5C">
              <w:t xml:space="preserve">for certain </w:t>
            </w:r>
            <w:r>
              <w:t>current</w:t>
            </w:r>
            <w:r w:rsidRPr="00C43D5C">
              <w:t xml:space="preserve"> </w:t>
            </w:r>
            <w:r>
              <w:t>and</w:t>
            </w:r>
            <w:r w:rsidRPr="00C43D5C">
              <w:t xml:space="preserve"> </w:t>
            </w:r>
            <w:r w:rsidRPr="00C43D5C">
              <w:t xml:space="preserve">former military personnel from any requirement to complete the live firing portion of a hunter education course under </w:t>
            </w:r>
            <w:r>
              <w:t>a state</w:t>
            </w:r>
            <w:r w:rsidRPr="00C43D5C">
              <w:t xml:space="preserve"> </w:t>
            </w:r>
            <w:r w:rsidRPr="00C43D5C">
              <w:t>hunter education program to exempt such personnel from any requirement to complete such a course.</w:t>
            </w:r>
            <w:r>
              <w:t xml:space="preserve"> The </w:t>
            </w:r>
            <w:r w:rsidRPr="00B0604F">
              <w:t>bill</w:t>
            </w:r>
            <w:r w:rsidRPr="00B0604F">
              <w:t xml:space="preserve"> extends the exemption to a person who has previously served as a member of the Texas Army National Guard, the Texas Air National Guard, or the Texas State Guard and to </w:t>
            </w:r>
            <w:r>
              <w:t>certain</w:t>
            </w:r>
            <w:r w:rsidRPr="00B0604F">
              <w:t xml:space="preserve"> person</w:t>
            </w:r>
            <w:r>
              <w:t>s</w:t>
            </w:r>
            <w:r w:rsidRPr="00B0604F">
              <w:t xml:space="preserve"> who </w:t>
            </w:r>
            <w:r>
              <w:t>are</w:t>
            </w:r>
            <w:r w:rsidRPr="00B0604F">
              <w:t xml:space="preserve"> serving</w:t>
            </w:r>
            <w:r>
              <w:t xml:space="preserve"> or have</w:t>
            </w:r>
            <w:r w:rsidRPr="00B0604F">
              <w:t xml:space="preserve"> previously served</w:t>
            </w:r>
            <w:r w:rsidRPr="00B0604F">
              <w:t xml:space="preserve"> as </w:t>
            </w:r>
            <w:r>
              <w:t>peace officer</w:t>
            </w:r>
            <w:r>
              <w:t>s</w:t>
            </w:r>
            <w:r>
              <w:t>.</w:t>
            </w:r>
          </w:p>
          <w:p w:rsidR="008423E4" w:rsidRPr="00835628" w:rsidRDefault="00D87EC8" w:rsidP="00FE206E">
            <w:pPr>
              <w:rPr>
                <w:b/>
              </w:rPr>
            </w:pPr>
          </w:p>
        </w:tc>
      </w:tr>
      <w:tr w:rsidR="003674F6" w:rsidTr="00681988">
        <w:tc>
          <w:tcPr>
            <w:tcW w:w="9582" w:type="dxa"/>
          </w:tcPr>
          <w:p w:rsidR="008423E4" w:rsidRPr="00A8133F" w:rsidRDefault="00D87EC8" w:rsidP="00FE206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</w:t>
            </w:r>
            <w:r w:rsidRPr="009C1E9A">
              <w:rPr>
                <w:b/>
                <w:u w:val="single"/>
              </w:rPr>
              <w:t>E DATE</w:t>
            </w:r>
            <w:r>
              <w:rPr>
                <w:b/>
              </w:rPr>
              <w:t xml:space="preserve"> </w:t>
            </w:r>
          </w:p>
          <w:p w:rsidR="008423E4" w:rsidRDefault="00D87EC8" w:rsidP="00FE206E"/>
          <w:p w:rsidR="008423E4" w:rsidRDefault="00D87EC8" w:rsidP="00FE20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2017.</w:t>
            </w:r>
          </w:p>
          <w:p w:rsidR="0088780A" w:rsidRPr="00233FDB" w:rsidRDefault="00D87EC8" w:rsidP="00FE20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3674F6" w:rsidTr="00681988">
        <w:tc>
          <w:tcPr>
            <w:tcW w:w="9582" w:type="dxa"/>
          </w:tcPr>
          <w:p w:rsidR="00681988" w:rsidRDefault="00D87EC8" w:rsidP="00FE206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E71351" w:rsidRDefault="00D87EC8" w:rsidP="00FE206E">
            <w:pPr>
              <w:jc w:val="both"/>
            </w:pPr>
          </w:p>
          <w:p w:rsidR="00E71351" w:rsidRDefault="00D87EC8" w:rsidP="00FE206E">
            <w:pPr>
              <w:jc w:val="both"/>
            </w:pPr>
            <w:r>
              <w:t>While C.S.H.B. 2009 may differ from the original in minor or nonsubstantive ways, the following comparison is organized an</w:t>
            </w:r>
            <w:r>
              <w:t>d formatted in a manner that indicates the substantial differences between the introduced and committee substitute versions of the bill.</w:t>
            </w:r>
          </w:p>
          <w:p w:rsidR="00E71351" w:rsidRPr="00E71351" w:rsidRDefault="00D87EC8" w:rsidP="00FE206E">
            <w:pPr>
              <w:jc w:val="both"/>
            </w:pPr>
          </w:p>
        </w:tc>
      </w:tr>
      <w:tr w:rsidR="003674F6" w:rsidTr="00681988">
        <w:tc>
          <w:tcPr>
            <w:tcW w:w="9582" w:type="dxa"/>
          </w:tcPr>
          <w:tbl>
            <w:tblPr>
              <w:tblW w:w="9360" w:type="dxa"/>
              <w:tblInd w:w="6" w:type="dxa"/>
              <w:tblCellMar>
                <w:left w:w="10" w:type="dxa"/>
                <w:bottom w:w="288" w:type="dxa"/>
                <w:right w:w="10" w:type="dxa"/>
              </w:tblCellMar>
              <w:tblLook w:val="01E0" w:firstRow="1" w:lastRow="1" w:firstColumn="1" w:lastColumn="1" w:noHBand="0" w:noVBand="0"/>
            </w:tblPr>
            <w:tblGrid>
              <w:gridCol w:w="4680"/>
              <w:gridCol w:w="4680"/>
            </w:tblGrid>
            <w:tr w:rsidR="003674F6" w:rsidTr="00E71351">
              <w:trPr>
                <w:cantSplit/>
                <w:tblHeader/>
              </w:trPr>
              <w:tc>
                <w:tcPr>
                  <w:tcW w:w="4680" w:type="dxa"/>
                  <w:tcMar>
                    <w:bottom w:w="188" w:type="dxa"/>
                  </w:tcMar>
                </w:tcPr>
                <w:p w:rsidR="00681988" w:rsidRDefault="00D87EC8" w:rsidP="00FE206E">
                  <w:pPr>
                    <w:jc w:val="center"/>
                  </w:pPr>
                  <w:r>
                    <w:t>INTRODUCED</w:t>
                  </w:r>
                </w:p>
              </w:tc>
              <w:tc>
                <w:tcPr>
                  <w:tcW w:w="4680" w:type="dxa"/>
                  <w:tcMar>
                    <w:bottom w:w="188" w:type="dxa"/>
                  </w:tcMar>
                </w:tcPr>
                <w:p w:rsidR="00681988" w:rsidRDefault="00D87EC8" w:rsidP="00FE206E">
                  <w:pPr>
                    <w:jc w:val="center"/>
                  </w:pPr>
                  <w:r>
                    <w:t>HOUSE COMMITTEE SUBSTITUTE</w:t>
                  </w:r>
                </w:p>
              </w:tc>
            </w:tr>
            <w:tr w:rsidR="003674F6" w:rsidTr="00E71351">
              <w:tc>
                <w:tcPr>
                  <w:tcW w:w="4680" w:type="dxa"/>
                  <w:tcMar>
                    <w:right w:w="360" w:type="dxa"/>
                  </w:tcMar>
                </w:tcPr>
                <w:p w:rsidR="00681988" w:rsidRDefault="00D87EC8" w:rsidP="00FE206E">
                  <w:pPr>
                    <w:jc w:val="both"/>
                  </w:pPr>
                  <w:r>
                    <w:t xml:space="preserve">SECTION 1.  Section 62.014, Parks and Wildlife Code, is amended by amending </w:t>
                  </w:r>
                  <w:r>
                    <w:t>Subsection (n) to read as follows:</w:t>
                  </w:r>
                </w:p>
                <w:p w:rsidR="00681988" w:rsidRDefault="00D87EC8" w:rsidP="00FE206E">
                  <w:pPr>
                    <w:jc w:val="both"/>
                  </w:pPr>
                  <w:r>
                    <w:t xml:space="preserve">(n)  The following persons are exempt from </w:t>
                  </w:r>
                  <w:r>
                    <w:lastRenderedPageBreak/>
                    <w:t>any requirement to complete [</w:t>
                  </w:r>
                  <w:r>
                    <w:rPr>
                      <w:strike/>
                    </w:rPr>
                    <w:t>the live firing portion of</w:t>
                  </w:r>
                  <w:r>
                    <w:t>] a hunter education course under this section:</w:t>
                  </w:r>
                </w:p>
                <w:p w:rsidR="00681988" w:rsidRDefault="00D87EC8" w:rsidP="00FE206E">
                  <w:pPr>
                    <w:jc w:val="both"/>
                  </w:pPr>
                  <w:r>
                    <w:t>(1)  an honorably discharged veteran of the United States armed forces[</w:t>
                  </w:r>
                  <w:r>
                    <w:rPr>
                      <w:strike/>
                    </w:rPr>
                    <w:t>;</w:t>
                  </w:r>
                  <w:r>
                    <w:t>] o</w:t>
                  </w:r>
                  <w:r>
                    <w:t>r</w:t>
                  </w:r>
                </w:p>
                <w:p w:rsidR="00681988" w:rsidRDefault="00D87EC8" w:rsidP="00FE206E">
                  <w:pPr>
                    <w:jc w:val="both"/>
                  </w:pPr>
                  <w:r>
                    <w:t>[</w:t>
                  </w:r>
                  <w:r>
                    <w:rPr>
                      <w:strike/>
                    </w:rPr>
                    <w:t>(2)</w:t>
                  </w:r>
                  <w:r>
                    <w:t xml:space="preserve">]  a person who is on active duty as a member of the United States </w:t>
                  </w:r>
                  <w:r>
                    <w:rPr>
                      <w:u w:val="single"/>
                    </w:rPr>
                    <w:t>armed</w:t>
                  </w:r>
                  <w:r>
                    <w:t xml:space="preserve"> [</w:t>
                  </w:r>
                  <w:r>
                    <w:rPr>
                      <w:strike/>
                    </w:rPr>
                    <w:t>military</w:t>
                  </w:r>
                  <w:r>
                    <w:t>] forces</w:t>
                  </w:r>
                  <w:r>
                    <w:rPr>
                      <w:u w:val="single"/>
                    </w:rPr>
                    <w:t>;</w:t>
                  </w:r>
                </w:p>
                <w:p w:rsidR="00681988" w:rsidRDefault="00D87EC8" w:rsidP="00FE206E">
                  <w:pPr>
                    <w:jc w:val="both"/>
                  </w:pPr>
                  <w:r>
                    <w:rPr>
                      <w:u w:val="single"/>
                    </w:rPr>
                    <w:t>(2)  a person who is on active duty or has previously served as a member of the Texas Army National Guard, the Texas Air National Guard, or the Texas State Gu</w:t>
                  </w:r>
                  <w:r>
                    <w:rPr>
                      <w:u w:val="single"/>
                    </w:rPr>
                    <w:t>ard; or</w:t>
                  </w:r>
                </w:p>
                <w:p w:rsidR="00681988" w:rsidRDefault="00D87EC8" w:rsidP="00FE206E">
                  <w:pPr>
                    <w:jc w:val="both"/>
                  </w:pPr>
                  <w:r>
                    <w:rPr>
                      <w:u w:val="single"/>
                    </w:rPr>
                    <w:t>(3)  a person who is serving as a peace officer described by Subdivision (1), (2), (3), or (4), Article 2.12, Code of Criminal Procedure</w:t>
                  </w:r>
                  <w:r>
                    <w:t>[</w:t>
                  </w:r>
                  <w:r>
                    <w:rPr>
                      <w:strike/>
                    </w:rPr>
                    <w:t>, the Texas Army National Guard, the Texas Air National Guard, or the Texas State Guard</w:t>
                  </w:r>
                  <w:r>
                    <w:t>].</w:t>
                  </w:r>
                </w:p>
                <w:p w:rsidR="00681988" w:rsidRDefault="00D87EC8" w:rsidP="00FE206E">
                  <w:pPr>
                    <w:jc w:val="both"/>
                  </w:pPr>
                </w:p>
              </w:tc>
              <w:tc>
                <w:tcPr>
                  <w:tcW w:w="4680" w:type="dxa"/>
                  <w:tcMar>
                    <w:left w:w="360" w:type="dxa"/>
                  </w:tcMar>
                </w:tcPr>
                <w:p w:rsidR="00681988" w:rsidRDefault="00D87EC8" w:rsidP="00FE206E">
                  <w:pPr>
                    <w:jc w:val="both"/>
                  </w:pPr>
                  <w:r>
                    <w:lastRenderedPageBreak/>
                    <w:t xml:space="preserve">SECTION 1.  Section </w:t>
                  </w:r>
                  <w:r>
                    <w:t>62.014, Parks and Wildlife Code, is amended by amending Subsection (n) to read as follows:</w:t>
                  </w:r>
                </w:p>
                <w:p w:rsidR="00681988" w:rsidRDefault="00D87EC8" w:rsidP="00FE206E">
                  <w:pPr>
                    <w:jc w:val="both"/>
                  </w:pPr>
                  <w:r>
                    <w:t xml:space="preserve">(n)  The following persons are exempt from </w:t>
                  </w:r>
                  <w:r>
                    <w:lastRenderedPageBreak/>
                    <w:t>any requirement to complete [</w:t>
                  </w:r>
                  <w:r>
                    <w:rPr>
                      <w:strike/>
                    </w:rPr>
                    <w:t>the live firing portion of</w:t>
                  </w:r>
                  <w:r>
                    <w:t>] a hunter education course under this section:</w:t>
                  </w:r>
                </w:p>
                <w:p w:rsidR="00681988" w:rsidRDefault="00D87EC8" w:rsidP="00FE206E">
                  <w:pPr>
                    <w:jc w:val="both"/>
                  </w:pPr>
                  <w:r>
                    <w:t>(1)  an honorably d</w:t>
                  </w:r>
                  <w:r>
                    <w:t>ischarged veteran of the United States armed forces[</w:t>
                  </w:r>
                  <w:r>
                    <w:rPr>
                      <w:strike/>
                    </w:rPr>
                    <w:t>;</w:t>
                  </w:r>
                  <w:r>
                    <w:t>] or</w:t>
                  </w:r>
                </w:p>
                <w:p w:rsidR="00681988" w:rsidRDefault="00D87EC8" w:rsidP="00FE206E">
                  <w:pPr>
                    <w:jc w:val="both"/>
                  </w:pPr>
                  <w:r>
                    <w:t>[</w:t>
                  </w:r>
                  <w:r>
                    <w:rPr>
                      <w:strike/>
                    </w:rPr>
                    <w:t>(2)</w:t>
                  </w:r>
                  <w:r>
                    <w:t xml:space="preserve">]  a person who is on active duty as a member of the United States </w:t>
                  </w:r>
                  <w:r>
                    <w:rPr>
                      <w:u w:val="single"/>
                    </w:rPr>
                    <w:t>armed</w:t>
                  </w:r>
                  <w:r>
                    <w:t xml:space="preserve"> [</w:t>
                  </w:r>
                  <w:r>
                    <w:rPr>
                      <w:strike/>
                    </w:rPr>
                    <w:t>military</w:t>
                  </w:r>
                  <w:r>
                    <w:t>] forces</w:t>
                  </w:r>
                  <w:r>
                    <w:rPr>
                      <w:u w:val="single"/>
                    </w:rPr>
                    <w:t>;</w:t>
                  </w:r>
                </w:p>
                <w:p w:rsidR="00681988" w:rsidRDefault="00D87EC8" w:rsidP="00FE206E">
                  <w:pPr>
                    <w:jc w:val="both"/>
                  </w:pPr>
                  <w:r>
                    <w:rPr>
                      <w:u w:val="single"/>
                    </w:rPr>
                    <w:t>(2)  a person who is on active duty or has previously served as a member of the Texas Army National Gu</w:t>
                  </w:r>
                  <w:r>
                    <w:rPr>
                      <w:u w:val="single"/>
                    </w:rPr>
                    <w:t>ard, the Texas Air National Guard, or the Texas State Guard; or</w:t>
                  </w:r>
                </w:p>
                <w:p w:rsidR="00681988" w:rsidRDefault="00D87EC8" w:rsidP="00FE206E">
                  <w:pPr>
                    <w:jc w:val="both"/>
                  </w:pPr>
                  <w:r>
                    <w:rPr>
                      <w:u w:val="single"/>
                    </w:rPr>
                    <w:t xml:space="preserve">(3)  a person who is serving </w:t>
                  </w:r>
                  <w:r w:rsidRPr="00E71351">
                    <w:rPr>
                      <w:highlight w:val="lightGray"/>
                      <w:u w:val="single"/>
                    </w:rPr>
                    <w:t>or has previously served</w:t>
                  </w:r>
                  <w:r>
                    <w:rPr>
                      <w:u w:val="single"/>
                    </w:rPr>
                    <w:t xml:space="preserve"> as a peace officer described by Subdivision (1), (2), (3), or (4), Article 2.12, Code of Criminal Procedure</w:t>
                  </w:r>
                  <w:r>
                    <w:t>[</w:t>
                  </w:r>
                  <w:r>
                    <w:rPr>
                      <w:strike/>
                    </w:rPr>
                    <w:t>, the Texas Army National Guar</w:t>
                  </w:r>
                  <w:r>
                    <w:rPr>
                      <w:strike/>
                    </w:rPr>
                    <w:t>d, the Texas Air National Guard, or the Texas State Guard</w:t>
                  </w:r>
                  <w:r>
                    <w:t>].</w:t>
                  </w:r>
                </w:p>
              </w:tc>
            </w:tr>
            <w:tr w:rsidR="003674F6" w:rsidTr="00E71351">
              <w:tc>
                <w:tcPr>
                  <w:tcW w:w="4680" w:type="dxa"/>
                  <w:tcMar>
                    <w:right w:w="360" w:type="dxa"/>
                  </w:tcMar>
                </w:tcPr>
                <w:p w:rsidR="00681988" w:rsidRDefault="00D87EC8" w:rsidP="00FE206E">
                  <w:pPr>
                    <w:jc w:val="both"/>
                  </w:pPr>
                  <w:r>
                    <w:lastRenderedPageBreak/>
                    <w:t xml:space="preserve">SECTION 2.  This Act takes effect immediately if it receives a vote of two-thirds of all the members elected to each house, as provided by Section 39, Article III, Texas Constitution.  If this </w:t>
                  </w:r>
                  <w:r>
                    <w:t>Act does not receive the vote necessary for immediate effect, this Act takes effect September 1, 2017.</w:t>
                  </w:r>
                </w:p>
              </w:tc>
              <w:tc>
                <w:tcPr>
                  <w:tcW w:w="4680" w:type="dxa"/>
                  <w:tcMar>
                    <w:left w:w="360" w:type="dxa"/>
                  </w:tcMar>
                </w:tcPr>
                <w:p w:rsidR="00681988" w:rsidRDefault="00D87EC8" w:rsidP="00FE206E">
                  <w:pPr>
                    <w:jc w:val="both"/>
                  </w:pPr>
                  <w:r>
                    <w:t>SECTION 2. Same as introduced version.</w:t>
                  </w:r>
                </w:p>
                <w:p w:rsidR="00681988" w:rsidRDefault="00D87EC8" w:rsidP="00FE206E">
                  <w:pPr>
                    <w:jc w:val="both"/>
                  </w:pPr>
                </w:p>
                <w:p w:rsidR="00681988" w:rsidRDefault="00D87EC8" w:rsidP="00FE206E">
                  <w:pPr>
                    <w:jc w:val="both"/>
                  </w:pPr>
                </w:p>
              </w:tc>
            </w:tr>
          </w:tbl>
          <w:p w:rsidR="00681988" w:rsidRDefault="00D87EC8" w:rsidP="00FE206E"/>
          <w:p w:rsidR="00681988" w:rsidRPr="009C1E9A" w:rsidRDefault="00D87EC8" w:rsidP="00FE206E">
            <w:pPr>
              <w:rPr>
                <w:b/>
                <w:u w:val="single"/>
              </w:rPr>
            </w:pPr>
          </w:p>
        </w:tc>
      </w:tr>
    </w:tbl>
    <w:p w:rsidR="008423E4" w:rsidRPr="00BE0E75" w:rsidRDefault="00D87EC8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D87EC8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87EC8">
      <w:r>
        <w:separator/>
      </w:r>
    </w:p>
  </w:endnote>
  <w:endnote w:type="continuationSeparator" w:id="0">
    <w:p w:rsidR="00000000" w:rsidRDefault="00D8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674F6" w:rsidTr="009C1E9A">
      <w:trPr>
        <w:cantSplit/>
      </w:trPr>
      <w:tc>
        <w:tcPr>
          <w:tcW w:w="0" w:type="pct"/>
        </w:tcPr>
        <w:p w:rsidR="00137D90" w:rsidRDefault="00D87EC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D87EC8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D87EC8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D87EC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D87EC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674F6" w:rsidTr="009C1E9A">
      <w:trPr>
        <w:cantSplit/>
      </w:trPr>
      <w:tc>
        <w:tcPr>
          <w:tcW w:w="0" w:type="pct"/>
        </w:tcPr>
        <w:p w:rsidR="00EC379B" w:rsidRDefault="00D87EC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D87EC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26949</w:t>
          </w:r>
        </w:p>
      </w:tc>
      <w:tc>
        <w:tcPr>
          <w:tcW w:w="2453" w:type="pct"/>
        </w:tcPr>
        <w:p w:rsidR="00EC379B" w:rsidRDefault="00D87EC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17.117.612</w:t>
          </w:r>
          <w:r>
            <w:fldChar w:fldCharType="end"/>
          </w:r>
        </w:p>
      </w:tc>
    </w:tr>
    <w:tr w:rsidR="003674F6" w:rsidTr="009C1E9A">
      <w:trPr>
        <w:cantSplit/>
      </w:trPr>
      <w:tc>
        <w:tcPr>
          <w:tcW w:w="0" w:type="pct"/>
        </w:tcPr>
        <w:p w:rsidR="00EC379B" w:rsidRDefault="00D87EC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D87EC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85R 25236</w:t>
          </w:r>
        </w:p>
      </w:tc>
      <w:tc>
        <w:tcPr>
          <w:tcW w:w="2453" w:type="pct"/>
        </w:tcPr>
        <w:p w:rsidR="00EC379B" w:rsidRDefault="00D87EC8" w:rsidP="006D504F">
          <w:pPr>
            <w:pStyle w:val="Footer"/>
            <w:rPr>
              <w:rStyle w:val="PageNumber"/>
            </w:rPr>
          </w:pPr>
        </w:p>
        <w:p w:rsidR="00EC379B" w:rsidRDefault="00D87EC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674F6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D87EC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D87EC8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D87EC8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87EC8">
      <w:r>
        <w:separator/>
      </w:r>
    </w:p>
  </w:footnote>
  <w:footnote w:type="continuationSeparator" w:id="0">
    <w:p w:rsidR="00000000" w:rsidRDefault="00D87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F6"/>
    <w:rsid w:val="003674F6"/>
    <w:rsid w:val="00D8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3B74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74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7410"/>
  </w:style>
  <w:style w:type="paragraph" w:styleId="CommentSubject">
    <w:name w:val="annotation subject"/>
    <w:basedOn w:val="CommentText"/>
    <w:next w:val="CommentText"/>
    <w:link w:val="CommentSubjectChar"/>
    <w:rsid w:val="003B7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74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3B74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74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7410"/>
  </w:style>
  <w:style w:type="paragraph" w:styleId="CommentSubject">
    <w:name w:val="annotation subject"/>
    <w:basedOn w:val="CommentText"/>
    <w:next w:val="CommentText"/>
    <w:link w:val="CommentSubjectChar"/>
    <w:rsid w:val="003B7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7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3285</Characters>
  <Application>Microsoft Office Word</Application>
  <DocSecurity>4</DocSecurity>
  <Lines>113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HB02009 (Committee Report (Substituted))</vt:lpstr>
    </vt:vector>
  </TitlesOfParts>
  <Company>State of Texas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26949</dc:subject>
  <dc:creator>State of Texas</dc:creator>
  <dc:description>HB 2009 by Bonnen, Greg-(H)Culture, Recreation &amp; Tourism (Substitute Document Number: 85R 25236)</dc:description>
  <cp:lastModifiedBy>Brianna Weis</cp:lastModifiedBy>
  <cp:revision>2</cp:revision>
  <cp:lastPrinted>2017-04-28T20:30:00Z</cp:lastPrinted>
  <dcterms:created xsi:type="dcterms:W3CDTF">2017-05-01T15:08:00Z</dcterms:created>
  <dcterms:modified xsi:type="dcterms:W3CDTF">2017-05-01T15:08:00Z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17.117.612</vt:lpwstr>
  </property>
</Properties>
</file>