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FD" w:rsidRDefault="00271A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23AE3781FE4393A3170CDC3D86654F"/>
          </w:placeholder>
        </w:sdtPr>
        <w:sdtContent>
          <w:r w:rsidRPr="005C2A78">
            <w:rPr>
              <w:rFonts w:cs="Times New Roman"/>
              <w:b/>
              <w:szCs w:val="24"/>
              <w:u w:val="single"/>
            </w:rPr>
            <w:t>BILL ANALYSIS</w:t>
          </w:r>
        </w:sdtContent>
      </w:sdt>
    </w:p>
    <w:p w:rsidR="00271AFD" w:rsidRPr="00585C31" w:rsidRDefault="00271AFD" w:rsidP="000F1DF9">
      <w:pPr>
        <w:spacing w:after="0" w:line="240" w:lineRule="auto"/>
        <w:rPr>
          <w:rFonts w:cs="Times New Roman"/>
          <w:szCs w:val="24"/>
        </w:rPr>
      </w:pPr>
    </w:p>
    <w:p w:rsidR="00271AFD" w:rsidRPr="00585C31" w:rsidRDefault="00271A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1AFD" w:rsidTr="000F1DF9">
        <w:tc>
          <w:tcPr>
            <w:tcW w:w="2718" w:type="dxa"/>
          </w:tcPr>
          <w:p w:rsidR="00271AFD" w:rsidRPr="005C2A78" w:rsidRDefault="00271AFD" w:rsidP="006D756B">
            <w:pPr>
              <w:rPr>
                <w:rFonts w:cs="Times New Roman"/>
                <w:szCs w:val="24"/>
              </w:rPr>
            </w:pPr>
            <w:sdt>
              <w:sdtPr>
                <w:rPr>
                  <w:rFonts w:cs="Times New Roman"/>
                  <w:szCs w:val="24"/>
                </w:rPr>
                <w:alias w:val="Agency Title"/>
                <w:tag w:val="AgencyTitleContentControl"/>
                <w:id w:val="1920747753"/>
                <w:lock w:val="sdtContentLocked"/>
                <w:placeholder>
                  <w:docPart w:val="C2412979F2F44753BD3378AEDB188E21"/>
                </w:placeholder>
              </w:sdtPr>
              <w:sdtEndPr>
                <w:rPr>
                  <w:rFonts w:cstheme="minorBidi"/>
                  <w:szCs w:val="22"/>
                </w:rPr>
              </w:sdtEndPr>
              <w:sdtContent>
                <w:r>
                  <w:rPr>
                    <w:rFonts w:cs="Times New Roman"/>
                    <w:szCs w:val="24"/>
                  </w:rPr>
                  <w:t>Senate Research Center</w:t>
                </w:r>
              </w:sdtContent>
            </w:sdt>
          </w:p>
        </w:tc>
        <w:tc>
          <w:tcPr>
            <w:tcW w:w="6858" w:type="dxa"/>
          </w:tcPr>
          <w:p w:rsidR="00271AFD" w:rsidRPr="00FF6471" w:rsidRDefault="00271AFD" w:rsidP="000F1DF9">
            <w:pPr>
              <w:jc w:val="right"/>
              <w:rPr>
                <w:rFonts w:cs="Times New Roman"/>
                <w:szCs w:val="24"/>
              </w:rPr>
            </w:pPr>
            <w:sdt>
              <w:sdtPr>
                <w:rPr>
                  <w:rFonts w:cs="Times New Roman"/>
                  <w:szCs w:val="24"/>
                </w:rPr>
                <w:alias w:val="Bill Number"/>
                <w:tag w:val="BillNumberOne"/>
                <w:id w:val="-410784069"/>
                <w:lock w:val="sdtContentLocked"/>
                <w:placeholder>
                  <w:docPart w:val="15584A32E46F4F93BBC0CE74F385F9FE"/>
                </w:placeholder>
              </w:sdtPr>
              <w:sdtContent>
                <w:r>
                  <w:rPr>
                    <w:rFonts w:cs="Times New Roman"/>
                    <w:szCs w:val="24"/>
                  </w:rPr>
                  <w:t>H.B. 2027</w:t>
                </w:r>
              </w:sdtContent>
            </w:sdt>
          </w:p>
        </w:tc>
      </w:tr>
      <w:tr w:rsidR="00271AFD" w:rsidTr="000F1DF9">
        <w:sdt>
          <w:sdtPr>
            <w:rPr>
              <w:rFonts w:cs="Times New Roman"/>
              <w:szCs w:val="24"/>
            </w:rPr>
            <w:alias w:val="TLCNumber"/>
            <w:tag w:val="TLCNumber"/>
            <w:id w:val="-542600604"/>
            <w:lock w:val="sdtLocked"/>
            <w:placeholder>
              <w:docPart w:val="2264A29A471243C180D78EA4D8631898"/>
            </w:placeholder>
          </w:sdtPr>
          <w:sdtContent>
            <w:tc>
              <w:tcPr>
                <w:tcW w:w="2718" w:type="dxa"/>
              </w:tcPr>
              <w:p w:rsidR="00271AFD" w:rsidRPr="000F1DF9" w:rsidRDefault="00271AFD" w:rsidP="00C65088">
                <w:pPr>
                  <w:rPr>
                    <w:rFonts w:cs="Times New Roman"/>
                    <w:szCs w:val="24"/>
                  </w:rPr>
                </w:pPr>
                <w:r>
                  <w:rPr>
                    <w:rFonts w:cs="Times New Roman"/>
                    <w:szCs w:val="24"/>
                  </w:rPr>
                  <w:t>85R312 CLG-D</w:t>
                </w:r>
              </w:p>
            </w:tc>
          </w:sdtContent>
        </w:sdt>
        <w:tc>
          <w:tcPr>
            <w:tcW w:w="6858" w:type="dxa"/>
          </w:tcPr>
          <w:p w:rsidR="00271AFD" w:rsidRPr="005C2A78" w:rsidRDefault="00271AFD" w:rsidP="006D756B">
            <w:pPr>
              <w:jc w:val="right"/>
              <w:rPr>
                <w:rFonts w:cs="Times New Roman"/>
                <w:szCs w:val="24"/>
              </w:rPr>
            </w:pPr>
            <w:sdt>
              <w:sdtPr>
                <w:rPr>
                  <w:rFonts w:cs="Times New Roman"/>
                  <w:szCs w:val="24"/>
                </w:rPr>
                <w:alias w:val="Author Label"/>
                <w:tag w:val="By"/>
                <w:id w:val="72399597"/>
                <w:lock w:val="sdtLocked"/>
                <w:placeholder>
                  <w:docPart w:val="F61D8E093C41488BB0EC822A5B09C5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3C2711C32B42D594549EEC5DCCA9E7"/>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DC3BDB4AA0C44054A778D9AC950EEBC4"/>
                </w:placeholder>
              </w:sdtPr>
              <w:sdtContent>
                <w:r>
                  <w:rPr>
                    <w:rFonts w:cs="Times New Roman"/>
                    <w:szCs w:val="24"/>
                  </w:rPr>
                  <w:t xml:space="preserve"> (Taylor, Van)</w:t>
                </w:r>
              </w:sdtContent>
            </w:sdt>
          </w:p>
        </w:tc>
      </w:tr>
      <w:tr w:rsidR="00271AFD" w:rsidTr="000F1DF9">
        <w:tc>
          <w:tcPr>
            <w:tcW w:w="2718" w:type="dxa"/>
          </w:tcPr>
          <w:p w:rsidR="00271AFD" w:rsidRPr="00BC7495" w:rsidRDefault="00271AFD" w:rsidP="000F1DF9">
            <w:pPr>
              <w:rPr>
                <w:rFonts w:cs="Times New Roman"/>
                <w:szCs w:val="24"/>
              </w:rPr>
            </w:pPr>
          </w:p>
        </w:tc>
        <w:sdt>
          <w:sdtPr>
            <w:rPr>
              <w:rFonts w:cs="Times New Roman"/>
              <w:szCs w:val="24"/>
            </w:rPr>
            <w:alias w:val="Committee"/>
            <w:tag w:val="Committee"/>
            <w:id w:val="1914272295"/>
            <w:lock w:val="sdtContentLocked"/>
            <w:placeholder>
              <w:docPart w:val="76648EA92A894333A71614AC1128BE04"/>
            </w:placeholder>
          </w:sdtPr>
          <w:sdtContent>
            <w:tc>
              <w:tcPr>
                <w:tcW w:w="6858" w:type="dxa"/>
              </w:tcPr>
              <w:p w:rsidR="00271AFD" w:rsidRPr="00FF6471" w:rsidRDefault="00271AFD" w:rsidP="000F1DF9">
                <w:pPr>
                  <w:jc w:val="right"/>
                  <w:rPr>
                    <w:rFonts w:cs="Times New Roman"/>
                    <w:szCs w:val="24"/>
                  </w:rPr>
                </w:pPr>
                <w:r>
                  <w:rPr>
                    <w:rFonts w:cs="Times New Roman"/>
                    <w:szCs w:val="24"/>
                  </w:rPr>
                  <w:t>Business &amp; Commerce</w:t>
                </w:r>
              </w:p>
            </w:tc>
          </w:sdtContent>
        </w:sdt>
      </w:tr>
      <w:tr w:rsidR="00271AFD" w:rsidTr="000F1DF9">
        <w:tc>
          <w:tcPr>
            <w:tcW w:w="2718" w:type="dxa"/>
          </w:tcPr>
          <w:p w:rsidR="00271AFD" w:rsidRPr="00BC7495" w:rsidRDefault="00271AFD" w:rsidP="000F1DF9">
            <w:pPr>
              <w:rPr>
                <w:rFonts w:cs="Times New Roman"/>
                <w:szCs w:val="24"/>
              </w:rPr>
            </w:pPr>
          </w:p>
        </w:tc>
        <w:sdt>
          <w:sdtPr>
            <w:rPr>
              <w:rFonts w:cs="Times New Roman"/>
              <w:szCs w:val="24"/>
            </w:rPr>
            <w:alias w:val="Date"/>
            <w:tag w:val="DateContentControl"/>
            <w:id w:val="1178081906"/>
            <w:lock w:val="sdtLocked"/>
            <w:placeholder>
              <w:docPart w:val="FE06DB1F3A64428DB5507754B521EEED"/>
            </w:placeholder>
            <w:date w:fullDate="2017-05-04T00:00:00Z">
              <w:dateFormat w:val="M/d/yyyy"/>
              <w:lid w:val="en-US"/>
              <w:storeMappedDataAs w:val="dateTime"/>
              <w:calendar w:val="gregorian"/>
            </w:date>
          </w:sdtPr>
          <w:sdtContent>
            <w:tc>
              <w:tcPr>
                <w:tcW w:w="6858" w:type="dxa"/>
              </w:tcPr>
              <w:p w:rsidR="00271AFD" w:rsidRPr="00FF6471" w:rsidRDefault="00271AFD" w:rsidP="000F1DF9">
                <w:pPr>
                  <w:jc w:val="right"/>
                  <w:rPr>
                    <w:rFonts w:cs="Times New Roman"/>
                    <w:szCs w:val="24"/>
                  </w:rPr>
                </w:pPr>
                <w:r>
                  <w:rPr>
                    <w:rFonts w:cs="Times New Roman"/>
                    <w:szCs w:val="24"/>
                  </w:rPr>
                  <w:t>5/4/2017</w:t>
                </w:r>
              </w:p>
            </w:tc>
          </w:sdtContent>
        </w:sdt>
      </w:tr>
      <w:tr w:rsidR="00271AFD" w:rsidTr="000F1DF9">
        <w:tc>
          <w:tcPr>
            <w:tcW w:w="2718" w:type="dxa"/>
          </w:tcPr>
          <w:p w:rsidR="00271AFD" w:rsidRPr="00BC7495" w:rsidRDefault="00271AFD" w:rsidP="000F1DF9">
            <w:pPr>
              <w:rPr>
                <w:rFonts w:cs="Times New Roman"/>
                <w:szCs w:val="24"/>
              </w:rPr>
            </w:pPr>
          </w:p>
        </w:tc>
        <w:sdt>
          <w:sdtPr>
            <w:rPr>
              <w:rFonts w:cs="Times New Roman"/>
              <w:szCs w:val="24"/>
            </w:rPr>
            <w:alias w:val="BA Version"/>
            <w:tag w:val="BAVersion"/>
            <w:id w:val="-1685590809"/>
            <w:lock w:val="sdtContentLocked"/>
            <w:placeholder>
              <w:docPart w:val="363003D234A648E28BC0C8DBE4E3882C"/>
            </w:placeholder>
          </w:sdtPr>
          <w:sdtContent>
            <w:tc>
              <w:tcPr>
                <w:tcW w:w="6858" w:type="dxa"/>
              </w:tcPr>
              <w:p w:rsidR="00271AFD" w:rsidRPr="00FF6471" w:rsidRDefault="00271AFD" w:rsidP="000F1DF9">
                <w:pPr>
                  <w:jc w:val="right"/>
                  <w:rPr>
                    <w:rFonts w:cs="Times New Roman"/>
                    <w:szCs w:val="24"/>
                  </w:rPr>
                </w:pPr>
                <w:r>
                  <w:rPr>
                    <w:rFonts w:cs="Times New Roman"/>
                    <w:szCs w:val="24"/>
                  </w:rPr>
                  <w:t>Engrossed</w:t>
                </w:r>
              </w:p>
            </w:tc>
          </w:sdtContent>
        </w:sdt>
      </w:tr>
    </w:tbl>
    <w:p w:rsidR="00271AFD" w:rsidRPr="00FF6471" w:rsidRDefault="00271AFD" w:rsidP="000F1DF9">
      <w:pPr>
        <w:spacing w:after="0" w:line="240" w:lineRule="auto"/>
        <w:rPr>
          <w:rFonts w:cs="Times New Roman"/>
          <w:szCs w:val="24"/>
        </w:rPr>
      </w:pPr>
    </w:p>
    <w:p w:rsidR="00271AFD" w:rsidRPr="00FF6471" w:rsidRDefault="00271AFD" w:rsidP="000F1DF9">
      <w:pPr>
        <w:spacing w:after="0" w:line="240" w:lineRule="auto"/>
        <w:rPr>
          <w:rFonts w:cs="Times New Roman"/>
          <w:szCs w:val="24"/>
        </w:rPr>
      </w:pPr>
    </w:p>
    <w:p w:rsidR="00271AFD" w:rsidRPr="00FF6471" w:rsidRDefault="00271A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2981F6E0BA422CA5A98C6DF8ABEA48"/>
        </w:placeholder>
      </w:sdtPr>
      <w:sdtContent>
        <w:p w:rsidR="00271AFD" w:rsidRDefault="00271A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827366577E4A539A7BCC4F01BBBBCE"/>
        </w:placeholder>
      </w:sdtPr>
      <w:sdtContent>
        <w:p w:rsidR="00271AFD" w:rsidRPr="00A13D78" w:rsidRDefault="00271AFD" w:rsidP="00E3677A">
          <w:pPr>
            <w:pStyle w:val="NormalWeb"/>
            <w:spacing w:before="0" w:beforeAutospacing="0" w:after="0" w:afterAutospacing="0"/>
            <w:jc w:val="both"/>
            <w:divId w:val="1228885297"/>
            <w:rPr>
              <w:rFonts w:eastAsia="Times New Roman"/>
              <w:bCs/>
            </w:rPr>
          </w:pPr>
        </w:p>
        <w:p w:rsidR="00271AFD" w:rsidRDefault="00271AFD" w:rsidP="00E3677A">
          <w:pPr>
            <w:pStyle w:val="NormalWeb"/>
            <w:spacing w:before="0" w:beforeAutospacing="0" w:after="0" w:afterAutospacing="0"/>
            <w:jc w:val="both"/>
            <w:divId w:val="1228885297"/>
            <w:rPr>
              <w:color w:val="000000"/>
            </w:rPr>
          </w:pPr>
          <w:r w:rsidRPr="00A13D78">
            <w:rPr>
              <w:color w:val="000000"/>
            </w:rPr>
            <w:t>In 1941, in response to a nationwide increase in counterfeiting, the 47th Legislature passed H.B. 118 regulating the sale or transfer of secondhand (meaning previously used or sold) watches. The Act requires that persons selling a secondhand watch clearly</w:t>
          </w:r>
          <w:r>
            <w:rPr>
              <w:color w:val="000000"/>
            </w:rPr>
            <w:t xml:space="preserve"> label the item as “secondhand,”</w:t>
          </w:r>
          <w:r w:rsidRPr="00A13D78">
            <w:rPr>
              <w:color w:val="000000"/>
            </w:rPr>
            <w:t xml:space="preserve"> draft a specific invoice for the sale, and, if advertising a watch, clearly indicate that the watch is secondhand. Failure to comply with these requirements could, by law, result in a criminal penalty of up to 100 days in a county jail, a $500 fine, or both.</w:t>
          </w:r>
        </w:p>
        <w:p w:rsidR="00271AFD" w:rsidRPr="00A13D78" w:rsidRDefault="00271AFD" w:rsidP="00E3677A">
          <w:pPr>
            <w:pStyle w:val="NormalWeb"/>
            <w:spacing w:before="0" w:beforeAutospacing="0" w:after="0" w:afterAutospacing="0"/>
            <w:jc w:val="both"/>
            <w:divId w:val="1228885297"/>
            <w:rPr>
              <w:color w:val="000000"/>
            </w:rPr>
          </w:pPr>
        </w:p>
        <w:p w:rsidR="00271AFD" w:rsidRDefault="00271AFD" w:rsidP="00E3677A">
          <w:pPr>
            <w:pStyle w:val="NormalWeb"/>
            <w:spacing w:before="0" w:beforeAutospacing="0" w:after="0" w:afterAutospacing="0"/>
            <w:jc w:val="both"/>
            <w:divId w:val="1228885297"/>
            <w:rPr>
              <w:color w:val="000000"/>
            </w:rPr>
          </w:pPr>
          <w:r w:rsidRPr="00A13D78">
            <w:rPr>
              <w:color w:val="000000"/>
            </w:rPr>
            <w:t>The requirements and penalties associated with the sale of secondhand watches appear to have outlived their usefulness. Unlike the 1940's when the law was approved, many watches are no longer considered luxury items. Mass production, coupled with the introduction of electronic watches, have allowed for consumers to purchase more watches, and at a cheaper price. Consequently, the need for consumer protections specific to watch purchases has dissipated. Further, the Texas laws governing the sale of secondhand watches appear to be ignored. A cursory review of secondhand goods marketplaces on the Intern</w:t>
          </w:r>
          <w:r>
            <w:rPr>
              <w:color w:val="000000"/>
            </w:rPr>
            <w:t>et, including Google shopping, e</w:t>
          </w:r>
          <w:r w:rsidRPr="00A13D78">
            <w:rPr>
              <w:color w:val="000000"/>
            </w:rPr>
            <w:t>Bay, and Craigslist, reveals widespread noncompliance with the law's requirements.</w:t>
          </w:r>
        </w:p>
        <w:p w:rsidR="00271AFD" w:rsidRPr="00A13D78" w:rsidRDefault="00271AFD" w:rsidP="00E3677A">
          <w:pPr>
            <w:pStyle w:val="NormalWeb"/>
            <w:spacing w:before="0" w:beforeAutospacing="0" w:after="0" w:afterAutospacing="0"/>
            <w:jc w:val="both"/>
            <w:divId w:val="1228885297"/>
            <w:rPr>
              <w:color w:val="000000"/>
            </w:rPr>
          </w:pPr>
        </w:p>
        <w:p w:rsidR="00271AFD" w:rsidRPr="00A13D78" w:rsidRDefault="00271AFD" w:rsidP="00E3677A">
          <w:pPr>
            <w:pStyle w:val="NormalWeb"/>
            <w:spacing w:before="0" w:beforeAutospacing="0" w:after="0" w:afterAutospacing="0"/>
            <w:jc w:val="both"/>
            <w:divId w:val="1228885297"/>
            <w:rPr>
              <w:color w:val="000000"/>
            </w:rPr>
          </w:pPr>
          <w:r w:rsidRPr="00A13D78">
            <w:rPr>
              <w:color w:val="000000"/>
            </w:rPr>
            <w:t>Interested parties observe that Texas consumers do not require, or use, regulations relating to the sale of secondhand watches. In addition, the criminal penalties associated with the improper sale of secondhand watches are excessive. H</w:t>
          </w:r>
          <w:r>
            <w:rPr>
              <w:color w:val="000000"/>
            </w:rPr>
            <w:t>.</w:t>
          </w:r>
          <w:r w:rsidRPr="00A13D78">
            <w:rPr>
              <w:color w:val="000000"/>
            </w:rPr>
            <w:t>B</w:t>
          </w:r>
          <w:r>
            <w:rPr>
              <w:color w:val="000000"/>
            </w:rPr>
            <w:t>.</w:t>
          </w:r>
          <w:r w:rsidRPr="00A13D78">
            <w:rPr>
              <w:color w:val="000000"/>
            </w:rPr>
            <w:t xml:space="preserve"> 2027 repeals the regulations applicable to the sale of secondhand watches. The bill also repeals the criminal penalties associated with the improper labeling, invoicing, or advertising of secondhand watches.</w:t>
          </w:r>
        </w:p>
        <w:p w:rsidR="00271AFD" w:rsidRPr="00D70925" w:rsidRDefault="00271AFD" w:rsidP="00E3677A">
          <w:pPr>
            <w:spacing w:after="0" w:line="240" w:lineRule="auto"/>
            <w:jc w:val="both"/>
            <w:rPr>
              <w:rFonts w:eastAsia="Times New Roman" w:cs="Times New Roman"/>
              <w:bCs/>
              <w:szCs w:val="24"/>
            </w:rPr>
          </w:pPr>
        </w:p>
      </w:sdtContent>
    </w:sdt>
    <w:p w:rsidR="00271AFD" w:rsidRDefault="00271A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2027 </w:t>
      </w:r>
      <w:bookmarkStart w:id="1" w:name="AmendsCurrentLaw"/>
      <w:bookmarkEnd w:id="1"/>
      <w:r>
        <w:rPr>
          <w:rFonts w:cs="Times New Roman"/>
          <w:szCs w:val="24"/>
        </w:rPr>
        <w:t>amends current law relating to the repeal of certain laws regulating the sale or transfer of secondhand watches.</w:t>
      </w:r>
    </w:p>
    <w:p w:rsidR="00271AFD" w:rsidRPr="000F2E21" w:rsidRDefault="00271AFD" w:rsidP="000F1DF9">
      <w:pPr>
        <w:spacing w:after="0" w:line="240" w:lineRule="auto"/>
        <w:jc w:val="both"/>
        <w:rPr>
          <w:rFonts w:eastAsia="Times New Roman" w:cs="Times New Roman"/>
          <w:szCs w:val="24"/>
        </w:rPr>
      </w:pPr>
    </w:p>
    <w:p w:rsidR="00271AFD" w:rsidRPr="005C2A78" w:rsidRDefault="00271A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54BE2367F948B9B22C6890E1AC62D4"/>
          </w:placeholder>
        </w:sdtPr>
        <w:sdtContent>
          <w:r>
            <w:rPr>
              <w:rFonts w:eastAsia="Times New Roman" w:cs="Times New Roman"/>
              <w:b/>
              <w:szCs w:val="24"/>
              <w:u w:val="single"/>
            </w:rPr>
            <w:t>RULEMAKING AUTHORITY</w:t>
          </w:r>
        </w:sdtContent>
      </w:sdt>
    </w:p>
    <w:p w:rsidR="00271AFD" w:rsidRPr="006529C4" w:rsidRDefault="00271AFD" w:rsidP="00774EC7">
      <w:pPr>
        <w:spacing w:after="0" w:line="240" w:lineRule="auto"/>
        <w:jc w:val="both"/>
        <w:rPr>
          <w:rFonts w:cs="Times New Roman"/>
          <w:szCs w:val="24"/>
        </w:rPr>
      </w:pPr>
    </w:p>
    <w:p w:rsidR="00271AFD" w:rsidRPr="006529C4" w:rsidRDefault="00271A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1AFD" w:rsidRPr="006529C4" w:rsidRDefault="00271AFD" w:rsidP="00774EC7">
      <w:pPr>
        <w:spacing w:after="0" w:line="240" w:lineRule="auto"/>
        <w:jc w:val="both"/>
        <w:rPr>
          <w:rFonts w:cs="Times New Roman"/>
          <w:szCs w:val="24"/>
        </w:rPr>
      </w:pPr>
    </w:p>
    <w:p w:rsidR="00271AFD" w:rsidRPr="005C2A78" w:rsidRDefault="00271A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4ED3A9F88041BCAA2F44D9A1B188E3"/>
          </w:placeholder>
        </w:sdtPr>
        <w:sdtContent>
          <w:r>
            <w:rPr>
              <w:rFonts w:eastAsia="Times New Roman" w:cs="Times New Roman"/>
              <w:b/>
              <w:szCs w:val="24"/>
              <w:u w:val="single"/>
            </w:rPr>
            <w:t>SECTION BY SECTION ANALYSIS</w:t>
          </w:r>
        </w:sdtContent>
      </w:sdt>
    </w:p>
    <w:p w:rsidR="00271AFD" w:rsidRPr="005C2A78" w:rsidRDefault="00271AFD" w:rsidP="000F1DF9">
      <w:pPr>
        <w:spacing w:after="0" w:line="240" w:lineRule="auto"/>
        <w:jc w:val="both"/>
        <w:rPr>
          <w:rFonts w:eastAsia="Times New Roman" w:cs="Times New Roman"/>
          <w:szCs w:val="24"/>
        </w:rPr>
      </w:pPr>
    </w:p>
    <w:p w:rsidR="00271AFD" w:rsidRPr="005C2A78" w:rsidRDefault="00271A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Subchapter C (Regulating the Sale or Transfer of Secondhand Watches), Chapter 17 (Deceptive Trade Practices), Business &amp; Commerce Code. </w:t>
      </w:r>
    </w:p>
    <w:p w:rsidR="00271AFD" w:rsidRPr="005C2A78" w:rsidRDefault="00271AFD" w:rsidP="000F1DF9">
      <w:pPr>
        <w:spacing w:after="0" w:line="240" w:lineRule="auto"/>
        <w:jc w:val="both"/>
        <w:rPr>
          <w:rFonts w:eastAsia="Times New Roman" w:cs="Times New Roman"/>
          <w:szCs w:val="24"/>
        </w:rPr>
      </w:pPr>
    </w:p>
    <w:p w:rsidR="00271AFD" w:rsidRPr="005C2A78" w:rsidRDefault="00271A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Prohibits an offense under Section 17.22 (Criminal Penalty), Business &amp; Commerce Code, from being prosecuted after the effective date of this Act. Provides that, if on the effective date of this Act a criminal action is pending for an offense under Section 17.22, Business &amp; Commerce Code, the action is dismissed on that date. Provides that, however, a final conviction for an offense under Section 17.22, Business &amp; Commerce Code, that exists on the effective date of this Act is unaffected by this Act. </w:t>
      </w:r>
    </w:p>
    <w:p w:rsidR="00271AFD" w:rsidRPr="005C2A78" w:rsidRDefault="00271AFD" w:rsidP="000F1DF9">
      <w:pPr>
        <w:spacing w:after="0" w:line="240" w:lineRule="auto"/>
        <w:jc w:val="both"/>
        <w:rPr>
          <w:rFonts w:eastAsia="Times New Roman" w:cs="Times New Roman"/>
          <w:szCs w:val="24"/>
        </w:rPr>
      </w:pPr>
    </w:p>
    <w:p w:rsidR="00271AFD" w:rsidRPr="005C2A78" w:rsidRDefault="00271AF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271AFD" w:rsidRPr="006529C4" w:rsidRDefault="00271AFD" w:rsidP="00774EC7">
      <w:pPr>
        <w:spacing w:after="0" w:line="240" w:lineRule="auto"/>
        <w:jc w:val="both"/>
        <w:rPr>
          <w:rFonts w:cs="Times New Roman"/>
          <w:szCs w:val="24"/>
        </w:rPr>
      </w:pPr>
    </w:p>
    <w:p w:rsidR="00271AFD" w:rsidRPr="006529C4" w:rsidRDefault="00271AFD" w:rsidP="00774EC7">
      <w:pPr>
        <w:spacing w:after="0" w:line="240" w:lineRule="auto"/>
        <w:jc w:val="both"/>
      </w:pPr>
    </w:p>
    <w:sectPr w:rsidR="00271AF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4B" w:rsidRDefault="00BC754B" w:rsidP="000F1DF9">
      <w:pPr>
        <w:spacing w:after="0" w:line="240" w:lineRule="auto"/>
      </w:pPr>
      <w:r>
        <w:separator/>
      </w:r>
    </w:p>
  </w:endnote>
  <w:endnote w:type="continuationSeparator" w:id="0">
    <w:p w:rsidR="00BC754B" w:rsidRDefault="00BC75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75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1AF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1AFD">
                <w:rPr>
                  <w:sz w:val="20"/>
                  <w:szCs w:val="20"/>
                </w:rPr>
                <w:t>H.B. 2027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1A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75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1A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1A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4B" w:rsidRDefault="00BC754B" w:rsidP="000F1DF9">
      <w:pPr>
        <w:spacing w:after="0" w:line="240" w:lineRule="auto"/>
      </w:pPr>
      <w:r>
        <w:separator/>
      </w:r>
    </w:p>
  </w:footnote>
  <w:footnote w:type="continuationSeparator" w:id="0">
    <w:p w:rsidR="00BC754B" w:rsidRDefault="00BC75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1AF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C754B"/>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A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A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A47" w:rsidP="00155A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23AE3781FE4393A3170CDC3D86654F"/>
        <w:category>
          <w:name w:val="General"/>
          <w:gallery w:val="placeholder"/>
        </w:category>
        <w:types>
          <w:type w:val="bbPlcHdr"/>
        </w:types>
        <w:behaviors>
          <w:behavior w:val="content"/>
        </w:behaviors>
        <w:guid w:val="{BBAC956D-7B9C-4A28-9D23-879ACC8DA9AB}"/>
      </w:docPartPr>
      <w:docPartBody>
        <w:p w:rsidR="00000000" w:rsidRDefault="002631F2"/>
      </w:docPartBody>
    </w:docPart>
    <w:docPart>
      <w:docPartPr>
        <w:name w:val="C2412979F2F44753BD3378AEDB188E21"/>
        <w:category>
          <w:name w:val="General"/>
          <w:gallery w:val="placeholder"/>
        </w:category>
        <w:types>
          <w:type w:val="bbPlcHdr"/>
        </w:types>
        <w:behaviors>
          <w:behavior w:val="content"/>
        </w:behaviors>
        <w:guid w:val="{497CFCC2-7D7E-42C5-AF5F-AAAAC9DCF5BC}"/>
      </w:docPartPr>
      <w:docPartBody>
        <w:p w:rsidR="00000000" w:rsidRDefault="002631F2"/>
      </w:docPartBody>
    </w:docPart>
    <w:docPart>
      <w:docPartPr>
        <w:name w:val="15584A32E46F4F93BBC0CE74F385F9FE"/>
        <w:category>
          <w:name w:val="General"/>
          <w:gallery w:val="placeholder"/>
        </w:category>
        <w:types>
          <w:type w:val="bbPlcHdr"/>
        </w:types>
        <w:behaviors>
          <w:behavior w:val="content"/>
        </w:behaviors>
        <w:guid w:val="{51F93121-982A-4A69-B6D7-D3D1775E5E6F}"/>
      </w:docPartPr>
      <w:docPartBody>
        <w:p w:rsidR="00000000" w:rsidRDefault="002631F2"/>
      </w:docPartBody>
    </w:docPart>
    <w:docPart>
      <w:docPartPr>
        <w:name w:val="2264A29A471243C180D78EA4D8631898"/>
        <w:category>
          <w:name w:val="General"/>
          <w:gallery w:val="placeholder"/>
        </w:category>
        <w:types>
          <w:type w:val="bbPlcHdr"/>
        </w:types>
        <w:behaviors>
          <w:behavior w:val="content"/>
        </w:behaviors>
        <w:guid w:val="{5B7FA528-04A0-47E3-93D7-C8B4BFABD934}"/>
      </w:docPartPr>
      <w:docPartBody>
        <w:p w:rsidR="00000000" w:rsidRDefault="002631F2"/>
      </w:docPartBody>
    </w:docPart>
    <w:docPart>
      <w:docPartPr>
        <w:name w:val="F61D8E093C41488BB0EC822A5B09C5DE"/>
        <w:category>
          <w:name w:val="General"/>
          <w:gallery w:val="placeholder"/>
        </w:category>
        <w:types>
          <w:type w:val="bbPlcHdr"/>
        </w:types>
        <w:behaviors>
          <w:behavior w:val="content"/>
        </w:behaviors>
        <w:guid w:val="{7B5026B0-3E2F-4D41-917A-A7B616C651A9}"/>
      </w:docPartPr>
      <w:docPartBody>
        <w:p w:rsidR="00000000" w:rsidRDefault="002631F2"/>
      </w:docPartBody>
    </w:docPart>
    <w:docPart>
      <w:docPartPr>
        <w:name w:val="C83C2711C32B42D594549EEC5DCCA9E7"/>
        <w:category>
          <w:name w:val="General"/>
          <w:gallery w:val="placeholder"/>
        </w:category>
        <w:types>
          <w:type w:val="bbPlcHdr"/>
        </w:types>
        <w:behaviors>
          <w:behavior w:val="content"/>
        </w:behaviors>
        <w:guid w:val="{73075648-6FCE-469E-A6C3-B9865BEF5145}"/>
      </w:docPartPr>
      <w:docPartBody>
        <w:p w:rsidR="00000000" w:rsidRDefault="002631F2"/>
      </w:docPartBody>
    </w:docPart>
    <w:docPart>
      <w:docPartPr>
        <w:name w:val="DC3BDB4AA0C44054A778D9AC950EEBC4"/>
        <w:category>
          <w:name w:val="General"/>
          <w:gallery w:val="placeholder"/>
        </w:category>
        <w:types>
          <w:type w:val="bbPlcHdr"/>
        </w:types>
        <w:behaviors>
          <w:behavior w:val="content"/>
        </w:behaviors>
        <w:guid w:val="{12999D83-542E-4C7F-BACC-A3BC22B65E7E}"/>
      </w:docPartPr>
      <w:docPartBody>
        <w:p w:rsidR="00000000" w:rsidRDefault="002631F2"/>
      </w:docPartBody>
    </w:docPart>
    <w:docPart>
      <w:docPartPr>
        <w:name w:val="76648EA92A894333A71614AC1128BE04"/>
        <w:category>
          <w:name w:val="General"/>
          <w:gallery w:val="placeholder"/>
        </w:category>
        <w:types>
          <w:type w:val="bbPlcHdr"/>
        </w:types>
        <w:behaviors>
          <w:behavior w:val="content"/>
        </w:behaviors>
        <w:guid w:val="{3EA870E2-B634-471D-BED9-477FF87FC25A}"/>
      </w:docPartPr>
      <w:docPartBody>
        <w:p w:rsidR="00000000" w:rsidRDefault="002631F2"/>
      </w:docPartBody>
    </w:docPart>
    <w:docPart>
      <w:docPartPr>
        <w:name w:val="FE06DB1F3A64428DB5507754B521EEED"/>
        <w:category>
          <w:name w:val="General"/>
          <w:gallery w:val="placeholder"/>
        </w:category>
        <w:types>
          <w:type w:val="bbPlcHdr"/>
        </w:types>
        <w:behaviors>
          <w:behavior w:val="content"/>
        </w:behaviors>
        <w:guid w:val="{3ECB9187-842C-416B-84E6-0AFD69AAC395}"/>
      </w:docPartPr>
      <w:docPartBody>
        <w:p w:rsidR="00000000" w:rsidRDefault="00155A47" w:rsidP="00155A47">
          <w:pPr>
            <w:pStyle w:val="FE06DB1F3A64428DB5507754B521EEED"/>
          </w:pPr>
          <w:r w:rsidRPr="00A30DD1">
            <w:rPr>
              <w:rStyle w:val="PlaceholderText"/>
            </w:rPr>
            <w:t>Click here to enter a date.</w:t>
          </w:r>
        </w:p>
      </w:docPartBody>
    </w:docPart>
    <w:docPart>
      <w:docPartPr>
        <w:name w:val="363003D234A648E28BC0C8DBE4E3882C"/>
        <w:category>
          <w:name w:val="General"/>
          <w:gallery w:val="placeholder"/>
        </w:category>
        <w:types>
          <w:type w:val="bbPlcHdr"/>
        </w:types>
        <w:behaviors>
          <w:behavior w:val="content"/>
        </w:behaviors>
        <w:guid w:val="{DDC6AC94-CBB6-45F3-B35F-93A5587B9865}"/>
      </w:docPartPr>
      <w:docPartBody>
        <w:p w:rsidR="00000000" w:rsidRDefault="002631F2"/>
      </w:docPartBody>
    </w:docPart>
    <w:docPart>
      <w:docPartPr>
        <w:name w:val="D62981F6E0BA422CA5A98C6DF8ABEA48"/>
        <w:category>
          <w:name w:val="General"/>
          <w:gallery w:val="placeholder"/>
        </w:category>
        <w:types>
          <w:type w:val="bbPlcHdr"/>
        </w:types>
        <w:behaviors>
          <w:behavior w:val="content"/>
        </w:behaviors>
        <w:guid w:val="{815608F6-D8A5-4E09-823A-7201BF0F40E7}"/>
      </w:docPartPr>
      <w:docPartBody>
        <w:p w:rsidR="00000000" w:rsidRDefault="002631F2"/>
      </w:docPartBody>
    </w:docPart>
    <w:docPart>
      <w:docPartPr>
        <w:name w:val="55827366577E4A539A7BCC4F01BBBBCE"/>
        <w:category>
          <w:name w:val="General"/>
          <w:gallery w:val="placeholder"/>
        </w:category>
        <w:types>
          <w:type w:val="bbPlcHdr"/>
        </w:types>
        <w:behaviors>
          <w:behavior w:val="content"/>
        </w:behaviors>
        <w:guid w:val="{BD8215E8-8EFD-447D-821D-E99EEC3E29A3}"/>
      </w:docPartPr>
      <w:docPartBody>
        <w:p w:rsidR="00000000" w:rsidRDefault="00155A47" w:rsidP="00155A47">
          <w:pPr>
            <w:pStyle w:val="55827366577E4A539A7BCC4F01BBBBCE"/>
          </w:pPr>
          <w:r>
            <w:rPr>
              <w:rFonts w:eastAsia="Times New Roman" w:cs="Times New Roman"/>
              <w:bCs/>
              <w:szCs w:val="24"/>
            </w:rPr>
            <w:t xml:space="preserve"> </w:t>
          </w:r>
        </w:p>
      </w:docPartBody>
    </w:docPart>
    <w:docPart>
      <w:docPartPr>
        <w:name w:val="4254BE2367F948B9B22C6890E1AC62D4"/>
        <w:category>
          <w:name w:val="General"/>
          <w:gallery w:val="placeholder"/>
        </w:category>
        <w:types>
          <w:type w:val="bbPlcHdr"/>
        </w:types>
        <w:behaviors>
          <w:behavior w:val="content"/>
        </w:behaviors>
        <w:guid w:val="{1BDDF8AF-8B4F-4D2B-8420-F9E7613F409A}"/>
      </w:docPartPr>
      <w:docPartBody>
        <w:p w:rsidR="00000000" w:rsidRDefault="002631F2"/>
      </w:docPartBody>
    </w:docPart>
    <w:docPart>
      <w:docPartPr>
        <w:name w:val="2A4ED3A9F88041BCAA2F44D9A1B188E3"/>
        <w:category>
          <w:name w:val="General"/>
          <w:gallery w:val="placeholder"/>
        </w:category>
        <w:types>
          <w:type w:val="bbPlcHdr"/>
        </w:types>
        <w:behaviors>
          <w:behavior w:val="content"/>
        </w:behaviors>
        <w:guid w:val="{019C60B2-AB34-4E01-B0F2-6E48F581B153}"/>
      </w:docPartPr>
      <w:docPartBody>
        <w:p w:rsidR="00000000" w:rsidRDefault="002631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A47"/>
    <w:rsid w:val="001C5F26"/>
    <w:rsid w:val="002631F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A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A47"/>
    <w:rPr>
      <w:rFonts w:ascii="Times New Roman" w:hAnsi="Times New Roman"/>
      <w:sz w:val="24"/>
    </w:rPr>
  </w:style>
  <w:style w:type="paragraph" w:customStyle="1" w:styleId="487D89B4F8B34DB4967D41FE18F7F88D7">
    <w:name w:val="487D89B4F8B34DB4967D41FE18F7F88D7"/>
    <w:rsid w:val="00155A47"/>
    <w:rPr>
      <w:rFonts w:ascii="Times New Roman" w:hAnsi="Times New Roman"/>
      <w:sz w:val="24"/>
    </w:rPr>
  </w:style>
  <w:style w:type="paragraph" w:customStyle="1" w:styleId="AE2570ED5D764CD7AF9686706F550F4620">
    <w:name w:val="AE2570ED5D764CD7AF9686706F550F4620"/>
    <w:rsid w:val="00155A47"/>
    <w:pPr>
      <w:tabs>
        <w:tab w:val="center" w:pos="4680"/>
        <w:tab w:val="right" w:pos="9360"/>
      </w:tabs>
      <w:spacing w:after="0" w:line="240" w:lineRule="auto"/>
    </w:pPr>
    <w:rPr>
      <w:rFonts w:ascii="Times New Roman" w:hAnsi="Times New Roman"/>
      <w:sz w:val="24"/>
    </w:rPr>
  </w:style>
  <w:style w:type="paragraph" w:customStyle="1" w:styleId="FE06DB1F3A64428DB5507754B521EEED">
    <w:name w:val="FE06DB1F3A64428DB5507754B521EEED"/>
    <w:rsid w:val="00155A47"/>
  </w:style>
  <w:style w:type="paragraph" w:customStyle="1" w:styleId="55827366577E4A539A7BCC4F01BBBBCE">
    <w:name w:val="55827366577E4A539A7BCC4F01BBBBCE"/>
    <w:rsid w:val="00155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A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A47"/>
    <w:rPr>
      <w:rFonts w:ascii="Times New Roman" w:hAnsi="Times New Roman"/>
      <w:sz w:val="24"/>
    </w:rPr>
  </w:style>
  <w:style w:type="paragraph" w:customStyle="1" w:styleId="487D89B4F8B34DB4967D41FE18F7F88D7">
    <w:name w:val="487D89B4F8B34DB4967D41FE18F7F88D7"/>
    <w:rsid w:val="00155A47"/>
    <w:rPr>
      <w:rFonts w:ascii="Times New Roman" w:hAnsi="Times New Roman"/>
      <w:sz w:val="24"/>
    </w:rPr>
  </w:style>
  <w:style w:type="paragraph" w:customStyle="1" w:styleId="AE2570ED5D764CD7AF9686706F550F4620">
    <w:name w:val="AE2570ED5D764CD7AF9686706F550F4620"/>
    <w:rsid w:val="00155A47"/>
    <w:pPr>
      <w:tabs>
        <w:tab w:val="center" w:pos="4680"/>
        <w:tab w:val="right" w:pos="9360"/>
      </w:tabs>
      <w:spacing w:after="0" w:line="240" w:lineRule="auto"/>
    </w:pPr>
    <w:rPr>
      <w:rFonts w:ascii="Times New Roman" w:hAnsi="Times New Roman"/>
      <w:sz w:val="24"/>
    </w:rPr>
  </w:style>
  <w:style w:type="paragraph" w:customStyle="1" w:styleId="FE06DB1F3A64428DB5507754B521EEED">
    <w:name w:val="FE06DB1F3A64428DB5507754B521EEED"/>
    <w:rsid w:val="00155A47"/>
  </w:style>
  <w:style w:type="paragraph" w:customStyle="1" w:styleId="55827366577E4A539A7BCC4F01BBBBCE">
    <w:name w:val="55827366577E4A539A7BCC4F01BBBBCE"/>
    <w:rsid w:val="00155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29CC0B-2F5E-4E32-BD11-E6963612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441</Words>
  <Characters>2520</Characters>
  <Application>Microsoft Office Word</Application>
  <DocSecurity>0</DocSecurity>
  <Lines>21</Lines>
  <Paragraphs>5</Paragraphs>
  <ScaleCrop>false</ScaleCrop>
  <Company>Texas Legislative Council</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2017-05-05T22:58:00Z</cp:lastPrinted>
  <dcterms:created xsi:type="dcterms:W3CDTF">2015-05-29T14:24:00Z</dcterms:created>
  <dcterms:modified xsi:type="dcterms:W3CDTF">2017-05-05T22:58:00Z</dcterms:modified>
</cp:coreProperties>
</file>

<file path=docProps/custom.xml><?xml version="1.0" encoding="utf-8"?>
<op:Properties xmlns:vt="http://schemas.openxmlformats.org/officeDocument/2006/docPropsVTypes" xmlns:op="http://schemas.openxmlformats.org/officeDocument/2006/custom-properties"/>
</file>