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42C5" w:rsidTr="00345119">
        <w:tc>
          <w:tcPr>
            <w:tcW w:w="9576" w:type="dxa"/>
            <w:noWrap/>
          </w:tcPr>
          <w:p w:rsidR="008423E4" w:rsidRPr="0022177D" w:rsidRDefault="00D222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2226" w:rsidP="008423E4">
      <w:pPr>
        <w:jc w:val="center"/>
      </w:pPr>
    </w:p>
    <w:p w:rsidR="008423E4" w:rsidRPr="00B31F0E" w:rsidRDefault="00D22226" w:rsidP="008423E4"/>
    <w:p w:rsidR="008423E4" w:rsidRPr="00742794" w:rsidRDefault="00D222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42C5" w:rsidTr="00345119">
        <w:tc>
          <w:tcPr>
            <w:tcW w:w="9576" w:type="dxa"/>
          </w:tcPr>
          <w:p w:rsidR="008423E4" w:rsidRPr="00861995" w:rsidRDefault="00D22226" w:rsidP="00345119">
            <w:pPr>
              <w:jc w:val="right"/>
            </w:pPr>
            <w:r>
              <w:t>C.S.H.B. 2040</w:t>
            </w:r>
          </w:p>
        </w:tc>
      </w:tr>
      <w:tr w:rsidR="00E642C5" w:rsidTr="00345119">
        <w:tc>
          <w:tcPr>
            <w:tcW w:w="9576" w:type="dxa"/>
          </w:tcPr>
          <w:p w:rsidR="008423E4" w:rsidRPr="00861995" w:rsidRDefault="00D22226" w:rsidP="00011A73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E642C5" w:rsidTr="00345119">
        <w:tc>
          <w:tcPr>
            <w:tcW w:w="9576" w:type="dxa"/>
          </w:tcPr>
          <w:p w:rsidR="008423E4" w:rsidRPr="00861995" w:rsidRDefault="00D22226" w:rsidP="00345119">
            <w:pPr>
              <w:jc w:val="right"/>
            </w:pPr>
            <w:r>
              <w:t>County Affairs</w:t>
            </w:r>
          </w:p>
        </w:tc>
      </w:tr>
      <w:tr w:rsidR="00E642C5" w:rsidTr="00345119">
        <w:tc>
          <w:tcPr>
            <w:tcW w:w="9576" w:type="dxa"/>
          </w:tcPr>
          <w:p w:rsidR="008423E4" w:rsidRDefault="00D222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22226" w:rsidP="008423E4">
      <w:pPr>
        <w:tabs>
          <w:tab w:val="right" w:pos="9360"/>
        </w:tabs>
      </w:pPr>
    </w:p>
    <w:p w:rsidR="008423E4" w:rsidRDefault="00D22226" w:rsidP="008423E4"/>
    <w:p w:rsidR="008423E4" w:rsidRDefault="00D222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E642C5" w:rsidTr="00B53A09">
        <w:tc>
          <w:tcPr>
            <w:tcW w:w="9588" w:type="dxa"/>
          </w:tcPr>
          <w:p w:rsidR="008423E4" w:rsidRPr="00A8133F" w:rsidRDefault="00D22226" w:rsidP="00E52D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2226" w:rsidP="00E52D82"/>
          <w:p w:rsidR="008423E4" w:rsidRDefault="00D22226" w:rsidP="00E52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there are insufficient</w:t>
            </w:r>
            <w:r>
              <w:t xml:space="preserve"> enforcement options </w:t>
            </w:r>
            <w:r>
              <w:t>available to certain counties</w:t>
            </w:r>
            <w:r>
              <w:t xml:space="preserve"> </w:t>
            </w:r>
            <w:r>
              <w:t xml:space="preserve">when </w:t>
            </w:r>
            <w:r>
              <w:t xml:space="preserve">a </w:t>
            </w:r>
            <w:r>
              <w:t>builder</w:t>
            </w:r>
            <w:r>
              <w:t xml:space="preserve"> fails to provide proper</w:t>
            </w:r>
            <w:r>
              <w:t xml:space="preserve"> notice </w:t>
            </w:r>
            <w:r>
              <w:t>of</w:t>
            </w:r>
            <w:r>
              <w:t xml:space="preserve"> </w:t>
            </w:r>
            <w:r>
              <w:t xml:space="preserve">compliance with </w:t>
            </w:r>
            <w:r>
              <w:t xml:space="preserve">applicable building </w:t>
            </w:r>
            <w:r>
              <w:t>code standards.</w:t>
            </w:r>
            <w:r>
              <w:t xml:space="preserve"> </w:t>
            </w:r>
            <w:r>
              <w:t xml:space="preserve">C.S.H.B. </w:t>
            </w:r>
            <w:r>
              <w:t xml:space="preserve">2040 seeks to address this issue by </w:t>
            </w:r>
            <w:r>
              <w:t>providing for more enforcement options</w:t>
            </w:r>
            <w:r>
              <w:t xml:space="preserve"> for this conduct</w:t>
            </w:r>
            <w:r>
              <w:t>.</w:t>
            </w:r>
          </w:p>
          <w:p w:rsidR="008423E4" w:rsidRPr="00E26B13" w:rsidRDefault="00D22226" w:rsidP="00E52D82">
            <w:pPr>
              <w:rPr>
                <w:b/>
              </w:rPr>
            </w:pPr>
          </w:p>
        </w:tc>
      </w:tr>
      <w:tr w:rsidR="00E642C5" w:rsidTr="00B53A09">
        <w:tc>
          <w:tcPr>
            <w:tcW w:w="9588" w:type="dxa"/>
          </w:tcPr>
          <w:p w:rsidR="0017725B" w:rsidRDefault="00D22226" w:rsidP="00E52D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2226" w:rsidP="00E52D82">
            <w:pPr>
              <w:rPr>
                <w:b/>
                <w:u w:val="single"/>
              </w:rPr>
            </w:pPr>
          </w:p>
          <w:p w:rsidR="009F7E62" w:rsidRPr="009F7E62" w:rsidRDefault="00D22226" w:rsidP="00E52D82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2226" w:rsidP="00E52D82">
            <w:pPr>
              <w:rPr>
                <w:b/>
                <w:u w:val="single"/>
              </w:rPr>
            </w:pPr>
          </w:p>
        </w:tc>
      </w:tr>
      <w:tr w:rsidR="00E642C5" w:rsidTr="00B53A09">
        <w:tc>
          <w:tcPr>
            <w:tcW w:w="9588" w:type="dxa"/>
          </w:tcPr>
          <w:p w:rsidR="008423E4" w:rsidRPr="00A8133F" w:rsidRDefault="00D22226" w:rsidP="00E52D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2226" w:rsidP="00E52D82"/>
          <w:p w:rsidR="000C373A" w:rsidRDefault="00D22226" w:rsidP="00E52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22226" w:rsidP="00E52D82">
            <w:pPr>
              <w:rPr>
                <w:b/>
              </w:rPr>
            </w:pPr>
          </w:p>
        </w:tc>
      </w:tr>
      <w:tr w:rsidR="00E642C5" w:rsidTr="00B53A09">
        <w:tc>
          <w:tcPr>
            <w:tcW w:w="9588" w:type="dxa"/>
          </w:tcPr>
          <w:p w:rsidR="008423E4" w:rsidRPr="00A8133F" w:rsidRDefault="00D22226" w:rsidP="00E52D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2226" w:rsidP="00E52D82"/>
          <w:p w:rsidR="008423E4" w:rsidRDefault="00D22226" w:rsidP="00E52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>
              <w:t xml:space="preserve">2040 amends the </w:t>
            </w:r>
            <w:r>
              <w:t xml:space="preserve">Local Government Code to </w:t>
            </w:r>
            <w:r>
              <w:t>authorize</w:t>
            </w:r>
            <w:r>
              <w:t xml:space="preserve"> </w:t>
            </w:r>
            <w:r>
              <w:t>a</w:t>
            </w:r>
            <w:r>
              <w:t xml:space="preserve"> count</w:t>
            </w:r>
            <w:r>
              <w:t xml:space="preserve">y </w:t>
            </w:r>
            <w:r>
              <w:t>to</w:t>
            </w:r>
            <w:r>
              <w:t xml:space="preserve"> </w:t>
            </w:r>
            <w:r>
              <w:t xml:space="preserve">bring a </w:t>
            </w:r>
            <w:r>
              <w:t>suit for injunctive relief against a builder</w:t>
            </w:r>
            <w:r>
              <w:t>,</w:t>
            </w:r>
            <w:r>
              <w:t xml:space="preserve"> refer a builder for prosecution, or take both </w:t>
            </w:r>
            <w:r>
              <w:t xml:space="preserve">such </w:t>
            </w:r>
            <w:r>
              <w:t>actions if</w:t>
            </w:r>
            <w:r>
              <w:t xml:space="preserve"> </w:t>
            </w:r>
            <w:r>
              <w:t>the</w:t>
            </w:r>
            <w:r>
              <w:t xml:space="preserve"> builder</w:t>
            </w:r>
            <w:r>
              <w:t xml:space="preserve"> does not indicate </w:t>
            </w:r>
            <w:r>
              <w:t>in the builder's notice of inspection</w:t>
            </w:r>
            <w:r>
              <w:t xml:space="preserve"> provided</w:t>
            </w:r>
            <w:r>
              <w:t xml:space="preserve"> to the county </w:t>
            </w:r>
            <w:r>
              <w:t>that the inspection showed compliance with the applicable</w:t>
            </w:r>
            <w:r>
              <w:t xml:space="preserve"> building code standards.</w:t>
            </w:r>
            <w:r>
              <w:t xml:space="preserve"> </w:t>
            </w:r>
            <w:r>
              <w:t>The bill</w:t>
            </w:r>
            <w:r>
              <w:t xml:space="preserve"> includes a builder's failure to provide such notice among the</w:t>
            </w:r>
            <w:r>
              <w:t xml:space="preserve"> </w:t>
            </w:r>
            <w:r>
              <w:t xml:space="preserve">conduct constituting the offense involving a builder's failure to provide required notices. </w:t>
            </w:r>
            <w:r>
              <w:t xml:space="preserve">The bill establishes as an affirmative defense </w:t>
            </w:r>
            <w:r>
              <w:t>to prosecution</w:t>
            </w:r>
            <w:r>
              <w:t xml:space="preserve"> for s</w:t>
            </w:r>
            <w:r>
              <w:t>uch an offense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 xml:space="preserve">failure to submit a proper notice of inspection </w:t>
            </w:r>
            <w:r>
              <w:t>that</w:t>
            </w:r>
            <w:r>
              <w:t xml:space="preserve"> the builder's failure to submit </w:t>
            </w:r>
            <w:r>
              <w:t>the</w:t>
            </w:r>
            <w:r>
              <w:t xml:space="preserve"> notice is the result </w:t>
            </w:r>
            <w:r w:rsidRPr="003B4EBA">
              <w:t>of the failure of the person who performed the inspection to provide appropriate documentation to the builder for submission to</w:t>
            </w:r>
            <w:r w:rsidRPr="003B4EBA">
              <w:t xml:space="preserve"> the county.</w:t>
            </w:r>
            <w:r>
              <w:t xml:space="preserve"> </w:t>
            </w:r>
          </w:p>
          <w:p w:rsidR="008423E4" w:rsidRPr="00835628" w:rsidRDefault="00D22226" w:rsidP="00E52D82">
            <w:pPr>
              <w:rPr>
                <w:b/>
              </w:rPr>
            </w:pPr>
          </w:p>
        </w:tc>
      </w:tr>
      <w:tr w:rsidR="00E642C5" w:rsidTr="00B53A09">
        <w:tc>
          <w:tcPr>
            <w:tcW w:w="9588" w:type="dxa"/>
          </w:tcPr>
          <w:p w:rsidR="008423E4" w:rsidRPr="00A8133F" w:rsidRDefault="00D22226" w:rsidP="00E52D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2226" w:rsidP="00E52D82"/>
          <w:p w:rsidR="008423E4" w:rsidRPr="003624F2" w:rsidRDefault="00D22226" w:rsidP="00E52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22226" w:rsidP="00E52D82">
            <w:pPr>
              <w:rPr>
                <w:b/>
              </w:rPr>
            </w:pPr>
          </w:p>
        </w:tc>
      </w:tr>
      <w:tr w:rsidR="00E642C5" w:rsidTr="00B53A09">
        <w:tc>
          <w:tcPr>
            <w:tcW w:w="9588" w:type="dxa"/>
          </w:tcPr>
          <w:p w:rsidR="00011A73" w:rsidRDefault="00D22226" w:rsidP="00011A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081B" w:rsidRDefault="00D22226" w:rsidP="00011A73">
            <w:pPr>
              <w:jc w:val="both"/>
            </w:pPr>
          </w:p>
          <w:p w:rsidR="0045081B" w:rsidRDefault="00D22226" w:rsidP="00011A73">
            <w:pPr>
              <w:jc w:val="both"/>
            </w:pPr>
            <w:r>
              <w:t>While C.S.H.B. 2040 may differ from the original in minor or nonsubstantive ways, the following comparison is organized and formatted in a manner that indicates th</w:t>
            </w:r>
            <w:r>
              <w:t>e substantial differences between the introduced and committee substitute versions of the bill.</w:t>
            </w:r>
          </w:p>
          <w:p w:rsidR="0045081B" w:rsidRPr="0045081B" w:rsidRDefault="00D22226" w:rsidP="00011A73">
            <w:pPr>
              <w:jc w:val="both"/>
            </w:pPr>
          </w:p>
        </w:tc>
      </w:tr>
      <w:tr w:rsidR="00E642C5" w:rsidTr="00B53A09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E642C5" w:rsidTr="00B53A09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B53A09" w:rsidRDefault="00D22226" w:rsidP="00E52D8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B53A09" w:rsidRDefault="00D22226" w:rsidP="00E52D8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642C5" w:rsidTr="00B53A09">
              <w:tc>
                <w:tcPr>
                  <w:tcW w:w="4676" w:type="dxa"/>
                  <w:tcMar>
                    <w:righ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t xml:space="preserve">SECTION 1.  Section 233.155, Local Government Code, is amended to read as </w:t>
                  </w:r>
                  <w:r>
                    <w:lastRenderedPageBreak/>
                    <w:t>follows: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 xml:space="preserve">Sec. 233.155.  ENFORCEMENT OF STANDARDS.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If proper notice is not submitted in accordance with Sections 233.154(b) and (c), the county may take any or all of the following actions: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(1)  refer the inspector to the appropriate regulatory authority for d</w:t>
                  </w:r>
                  <w:r>
                    <w:t>iscipline;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(2)  in a suit brought by the appropriate attorney representing the county in the district court, obtain appropriate injunctive relief to prevent a violation or threatened violation of a standard or notice required under this subchapter from con</w:t>
                  </w:r>
                  <w:r>
                    <w:t xml:space="preserve">tinuing or occurring; </w:t>
                  </w:r>
                  <w:r>
                    <w:rPr>
                      <w:u w:val="single"/>
                    </w:rPr>
                    <w:t>or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(3)  refer the builder for prosecution under Section 233.157.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 xml:space="preserve">(b)  If the notice the builder provided to the county under Section 233.154(c) does not indicate that the inspection showed </w:t>
                  </w:r>
                  <w:r w:rsidRPr="009C361D">
                    <w:rPr>
                      <w:highlight w:val="lightGray"/>
                      <w:u w:val="single"/>
                    </w:rPr>
                    <w:t>substantial</w:t>
                  </w:r>
                  <w:r>
                    <w:rPr>
                      <w:u w:val="single"/>
                    </w:rPr>
                    <w:t xml:space="preserve"> compliance with the applicable bu</w:t>
                  </w:r>
                  <w:r>
                    <w:rPr>
                      <w:u w:val="single"/>
                    </w:rPr>
                    <w:t>ilding code standards, the county may take either or both of the actions under Subsections (a)(2) and (3).</w:t>
                  </w:r>
                </w:p>
                <w:p w:rsidR="00B53A09" w:rsidRDefault="00D22226" w:rsidP="00E52D82">
                  <w:pPr>
                    <w:jc w:val="both"/>
                  </w:pPr>
                  <w:r w:rsidRPr="009C361D">
                    <w:rPr>
                      <w:highlight w:val="lightGray"/>
                      <w:u w:val="single"/>
                    </w:rPr>
                    <w:t>(c)  It is an affirmative defense to suit under Subsection (a)(2) for failure to submit proper notice under Section 233.154(c) or documentation of su</w:t>
                  </w:r>
                  <w:r w:rsidRPr="009C361D">
                    <w:rPr>
                      <w:highlight w:val="lightGray"/>
                      <w:u w:val="single"/>
                    </w:rPr>
                    <w:t>bstantial compliance under Subsection (b) if the builder's failure to submit a notice or  the documentation is the result of the failure of the person who performed the inspection to provide appropriate documentation to the builder for submission to the co</w:t>
                  </w:r>
                  <w:r w:rsidRPr="009C361D">
                    <w:rPr>
                      <w:highlight w:val="lightGray"/>
                      <w:u w:val="single"/>
                    </w:rPr>
                    <w:t>unty.</w:t>
                  </w:r>
                </w:p>
                <w:p w:rsidR="00B53A09" w:rsidRDefault="00D22226" w:rsidP="00E52D8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lastRenderedPageBreak/>
                    <w:t xml:space="preserve">SECTION 1.  Section 233.155, Local Government Code, is amended to read as </w:t>
                  </w:r>
                  <w:r>
                    <w:lastRenderedPageBreak/>
                    <w:t>follows: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 xml:space="preserve">Sec. 233.155.  ENFORCEMENT OF STANDARDS.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If proper notice is not submitted in accordance with Sections 233.154(b) and (c), the county may take any or all of the</w:t>
                  </w:r>
                  <w:r>
                    <w:t xml:space="preserve"> following actions: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(1)  refer the inspector to the appropriate regulatory authority for discipline;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(2)  in a suit brought by the appropriate attorney representing the county in the district court, obtain appropriate injunctive relief to prevent a violati</w:t>
                  </w:r>
                  <w:r>
                    <w:t xml:space="preserve">on or threatened violation of a standard or notice required under this subchapter from continuing or occurring; </w:t>
                  </w:r>
                  <w:r>
                    <w:rPr>
                      <w:u w:val="single"/>
                    </w:rPr>
                    <w:t>or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>(3)  refer the builder for prosecution under Section 233.157.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 xml:space="preserve">(b)  If the notice the builder provided to the county under Section 233.154(c) </w:t>
                  </w:r>
                  <w:r>
                    <w:rPr>
                      <w:u w:val="single"/>
                    </w:rPr>
                    <w:t>does not indicate that the inspection showed compliance with the applicable building code standards, the county may take either or both of the actions under Subsections (a)(2) and (3).</w:t>
                  </w:r>
                </w:p>
                <w:p w:rsidR="00B53A09" w:rsidRDefault="00D22226" w:rsidP="00E52D82">
                  <w:pPr>
                    <w:jc w:val="both"/>
                  </w:pPr>
                </w:p>
              </w:tc>
            </w:tr>
            <w:tr w:rsidR="00E642C5" w:rsidTr="00B53A09">
              <w:tc>
                <w:tcPr>
                  <w:tcW w:w="4676" w:type="dxa"/>
                  <w:tcMar>
                    <w:righ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lastRenderedPageBreak/>
                    <w:t xml:space="preserve">SECTION 2.  Section 233.157, Local Government Code, is amended by </w:t>
                  </w:r>
                  <w:r>
                    <w:t>amending Subsection (a) and adding Subsection (d) to read as follows: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 xml:space="preserve">(a)  A </w:t>
                  </w:r>
                  <w:r>
                    <w:rPr>
                      <w:u w:val="single"/>
                    </w:rPr>
                    <w:t>builder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commits an offense if</w:t>
                  </w:r>
                  <w:r>
                    <w:rPr>
                      <w:u w:val="single"/>
                    </w:rPr>
                    <w:t>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the </w:t>
                  </w:r>
                  <w:r>
                    <w:rPr>
                      <w:u w:val="single"/>
                    </w:rPr>
                    <w:t>builder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fails to provide proper notice in accordance with Sections 233.154(b) and (c)</w:t>
                  </w:r>
                  <w:r>
                    <w:rPr>
                      <w:u w:val="single"/>
                    </w:rPr>
                    <w:t>; or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(2)  as provided by Section 233</w:t>
                  </w:r>
                  <w:r>
                    <w:rPr>
                      <w:u w:val="single"/>
                    </w:rPr>
                    <w:t xml:space="preserve">.155(b), the builder does not provide notice under Section 233.154(c) that indicates that the inspection showed </w:t>
                  </w:r>
                  <w:r w:rsidRPr="009C361D">
                    <w:rPr>
                      <w:highlight w:val="lightGray"/>
                      <w:u w:val="single"/>
                    </w:rPr>
                    <w:t>substantial</w:t>
                  </w:r>
                  <w:r>
                    <w:rPr>
                      <w:u w:val="single"/>
                    </w:rPr>
                    <w:t xml:space="preserve"> compliance with the applicable building code standards</w:t>
                  </w:r>
                  <w:r>
                    <w:t>.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(d)  It is an affirmative defense to prosecution for failure to submit prope</w:t>
                  </w:r>
                  <w:r>
                    <w:rPr>
                      <w:u w:val="single"/>
                    </w:rPr>
                    <w:t xml:space="preserve">r notice under Section 233.154(c) </w:t>
                  </w:r>
                  <w:r w:rsidRPr="009C361D">
                    <w:rPr>
                      <w:highlight w:val="lightGray"/>
                      <w:u w:val="single"/>
                    </w:rPr>
                    <w:t>or documentation of substantial compliance under Section 233.155(b)</w:t>
                  </w:r>
                  <w:r>
                    <w:rPr>
                      <w:u w:val="single"/>
                    </w:rPr>
                    <w:t xml:space="preserve"> if the builder's </w:t>
                  </w:r>
                  <w:r>
                    <w:rPr>
                      <w:u w:val="single"/>
                    </w:rPr>
                    <w:lastRenderedPageBreak/>
                    <w:t xml:space="preserve">failure to submit a notice </w:t>
                  </w:r>
                  <w:r w:rsidRPr="009C361D">
                    <w:rPr>
                      <w:highlight w:val="lightGray"/>
                      <w:u w:val="single"/>
                    </w:rPr>
                    <w:t>or the documentation</w:t>
                  </w:r>
                  <w:r>
                    <w:rPr>
                      <w:u w:val="single"/>
                    </w:rPr>
                    <w:t xml:space="preserve"> is the result of the failure of the person who performed the inspection to provide approp</w:t>
                  </w:r>
                  <w:r>
                    <w:rPr>
                      <w:u w:val="single"/>
                    </w:rPr>
                    <w:t>riate documentation to the builder for submission to the county.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lastRenderedPageBreak/>
                    <w:t>SECTION 2.  Section 233.157, Local Government Code, is amended by amending Subsection (a) and adding Subsection (d) to read as follows: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t xml:space="preserve">(a)  A </w:t>
                  </w:r>
                  <w:r>
                    <w:rPr>
                      <w:u w:val="single"/>
                    </w:rPr>
                    <w:t>builder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commits an offense if</w:t>
                  </w:r>
                  <w:r>
                    <w:rPr>
                      <w:u w:val="single"/>
                    </w:rPr>
                    <w:t>: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the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builder</w:t>
                  </w:r>
                  <w:r>
                    <w:t xml:space="preserve"> [</w:t>
                  </w:r>
                  <w:r>
                    <w:rPr>
                      <w:strike/>
                    </w:rPr>
                    <w:t>person</w:t>
                  </w:r>
                  <w:r>
                    <w:t>] fails to provide proper notice in accordance with Sections 233.154(b) and (c)</w:t>
                  </w:r>
                  <w:r>
                    <w:rPr>
                      <w:u w:val="single"/>
                    </w:rPr>
                    <w:t>; or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(2)  as provided by Section 233.155(b), the builder does not provide notice under Section 233.154(c) that indicates that the inspection showed compliance wi</w:t>
                  </w:r>
                  <w:r>
                    <w:rPr>
                      <w:u w:val="single"/>
                    </w:rPr>
                    <w:t>th the applicable building code standards</w:t>
                  </w:r>
                  <w:r>
                    <w:t>.</w:t>
                  </w:r>
                </w:p>
                <w:p w:rsidR="00B53A09" w:rsidRDefault="00D22226" w:rsidP="00E52D82">
                  <w:pPr>
                    <w:jc w:val="both"/>
                  </w:pPr>
                  <w:r>
                    <w:rPr>
                      <w:u w:val="single"/>
                    </w:rPr>
                    <w:t>(d)  It is an affirmative defense to prosecution for failure to submit proper notice under Section 233.154(c)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the builder's failure to submit a notice is the result of the failure of the person who </w:t>
                  </w:r>
                  <w:r>
                    <w:rPr>
                      <w:u w:val="single"/>
                    </w:rPr>
                    <w:lastRenderedPageBreak/>
                    <w:t>performed th</w:t>
                  </w:r>
                  <w:r>
                    <w:rPr>
                      <w:u w:val="single"/>
                    </w:rPr>
                    <w:t>e inspection to provide appropriate documentation to the builder for submission to the county.</w:t>
                  </w:r>
                </w:p>
                <w:p w:rsidR="00B53A09" w:rsidRDefault="00D22226" w:rsidP="00E52D82">
                  <w:pPr>
                    <w:jc w:val="both"/>
                  </w:pPr>
                </w:p>
              </w:tc>
            </w:tr>
            <w:tr w:rsidR="00E642C5" w:rsidTr="00B53A09">
              <w:tc>
                <w:tcPr>
                  <w:tcW w:w="4676" w:type="dxa"/>
                  <w:tcMar>
                    <w:righ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lastRenderedPageBreak/>
                    <w:t>SECTION 3.  The changes in law made by this Act apply only to new residential construction that commences on or after September 1, 2017.  New residential const</w:t>
                  </w:r>
                  <w:r>
                    <w:t>ruction that commences before September 1, 2017, is governed by the law in effect immediately before that date, and that law is continued in effect for that purpose.</w:t>
                  </w:r>
                </w:p>
                <w:p w:rsidR="00B53A09" w:rsidRDefault="00D22226" w:rsidP="00E52D8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t>SECTION 3. Same as introduced version.</w:t>
                  </w:r>
                </w:p>
                <w:p w:rsidR="00B53A09" w:rsidRDefault="00D22226" w:rsidP="00E52D82">
                  <w:pPr>
                    <w:jc w:val="both"/>
                  </w:pPr>
                </w:p>
                <w:p w:rsidR="00B53A09" w:rsidRDefault="00D22226" w:rsidP="00E52D82">
                  <w:pPr>
                    <w:jc w:val="both"/>
                  </w:pPr>
                </w:p>
              </w:tc>
            </w:tr>
            <w:tr w:rsidR="00E642C5" w:rsidTr="00B53A09">
              <w:tc>
                <w:tcPr>
                  <w:tcW w:w="4676" w:type="dxa"/>
                  <w:tcMar>
                    <w:righ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t xml:space="preserve">SECTION 4.  This Act takes effect September 1, </w:t>
                  </w:r>
                  <w:r>
                    <w:t>2017.</w:t>
                  </w:r>
                </w:p>
                <w:p w:rsidR="00B53A09" w:rsidRDefault="00D22226" w:rsidP="00E52D82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B53A09" w:rsidRDefault="00D22226" w:rsidP="00E52D82">
                  <w:pPr>
                    <w:jc w:val="both"/>
                  </w:pPr>
                  <w:r>
                    <w:t>SECTION 4. Same as introduced version.</w:t>
                  </w:r>
                </w:p>
                <w:p w:rsidR="00B53A09" w:rsidRDefault="00D22226" w:rsidP="00E52D82">
                  <w:pPr>
                    <w:jc w:val="both"/>
                  </w:pPr>
                </w:p>
                <w:p w:rsidR="00B53A09" w:rsidRDefault="00D22226" w:rsidP="00E52D82">
                  <w:pPr>
                    <w:jc w:val="both"/>
                  </w:pPr>
                </w:p>
              </w:tc>
            </w:tr>
          </w:tbl>
          <w:p w:rsidR="00B53A09" w:rsidRDefault="00D22226" w:rsidP="00E52D82"/>
          <w:p w:rsidR="009430C9" w:rsidRDefault="00D22226" w:rsidP="00E52D82"/>
          <w:p w:rsidR="009430C9" w:rsidRPr="009C1E9A" w:rsidRDefault="00D22226" w:rsidP="00E52D82">
            <w:pPr>
              <w:rPr>
                <w:b/>
                <w:u w:val="single"/>
              </w:rPr>
            </w:pPr>
          </w:p>
        </w:tc>
      </w:tr>
      <w:tr w:rsidR="00E642C5" w:rsidTr="00B53A09">
        <w:tc>
          <w:tcPr>
            <w:tcW w:w="9588" w:type="dxa"/>
          </w:tcPr>
          <w:p w:rsidR="00B53A09" w:rsidRPr="00011A73" w:rsidRDefault="00D22226" w:rsidP="00011A73">
            <w:pPr>
              <w:spacing w:line="480" w:lineRule="auto"/>
              <w:jc w:val="both"/>
            </w:pPr>
          </w:p>
        </w:tc>
      </w:tr>
      <w:tr w:rsidR="00E642C5" w:rsidTr="00B53A09">
        <w:tc>
          <w:tcPr>
            <w:tcW w:w="9588" w:type="dxa"/>
          </w:tcPr>
          <w:p w:rsidR="00B53A09" w:rsidRDefault="00D22226" w:rsidP="00E52D82"/>
        </w:tc>
      </w:tr>
      <w:tr w:rsidR="00E642C5" w:rsidTr="00B53A09">
        <w:tc>
          <w:tcPr>
            <w:tcW w:w="9588" w:type="dxa"/>
          </w:tcPr>
          <w:p w:rsidR="00011A73" w:rsidRDefault="00D22226" w:rsidP="00E52D82"/>
        </w:tc>
      </w:tr>
      <w:tr w:rsidR="00E642C5" w:rsidTr="00B53A09">
        <w:tc>
          <w:tcPr>
            <w:tcW w:w="9588" w:type="dxa"/>
          </w:tcPr>
          <w:p w:rsidR="00011A73" w:rsidRDefault="00D22226" w:rsidP="00E52D82"/>
        </w:tc>
      </w:tr>
      <w:tr w:rsidR="00E642C5" w:rsidTr="00B53A09">
        <w:tc>
          <w:tcPr>
            <w:tcW w:w="9588" w:type="dxa"/>
          </w:tcPr>
          <w:p w:rsidR="00011A73" w:rsidRDefault="00D22226" w:rsidP="00E52D82"/>
        </w:tc>
      </w:tr>
    </w:tbl>
    <w:p w:rsidR="008423E4" w:rsidRPr="00BE0E75" w:rsidRDefault="00D222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C5450D" w:rsidRDefault="00D22226" w:rsidP="008423E4">
      <w:pPr>
        <w:rPr>
          <w:sz w:val="2"/>
          <w:szCs w:val="2"/>
        </w:rPr>
      </w:pPr>
    </w:p>
    <w:sectPr w:rsidR="004108C3" w:rsidRPr="00C5450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226">
      <w:r>
        <w:separator/>
      </w:r>
    </w:p>
  </w:endnote>
  <w:endnote w:type="continuationSeparator" w:id="0">
    <w:p w:rsidR="00000000" w:rsidRDefault="00D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B" w:rsidRDefault="00D22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42C5" w:rsidTr="009C1E9A">
      <w:trPr>
        <w:cantSplit/>
      </w:trPr>
      <w:tc>
        <w:tcPr>
          <w:tcW w:w="0" w:type="pct"/>
        </w:tcPr>
        <w:p w:rsidR="00137D90" w:rsidRDefault="00D222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22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22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22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22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2C5" w:rsidTr="009C1E9A">
      <w:trPr>
        <w:cantSplit/>
      </w:trPr>
      <w:tc>
        <w:tcPr>
          <w:tcW w:w="0" w:type="pct"/>
        </w:tcPr>
        <w:p w:rsidR="00EC379B" w:rsidRDefault="00D222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22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22088</w:t>
          </w:r>
        </w:p>
      </w:tc>
      <w:tc>
        <w:tcPr>
          <w:tcW w:w="2453" w:type="pct"/>
        </w:tcPr>
        <w:p w:rsidR="00EC379B" w:rsidRDefault="00D222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17.96.773</w:t>
          </w:r>
          <w:r>
            <w:fldChar w:fldCharType="end"/>
          </w:r>
        </w:p>
      </w:tc>
    </w:tr>
    <w:tr w:rsidR="00E642C5" w:rsidTr="009C1E9A">
      <w:trPr>
        <w:cantSplit/>
      </w:trPr>
      <w:tc>
        <w:tcPr>
          <w:tcW w:w="0" w:type="pct"/>
        </w:tcPr>
        <w:p w:rsidR="00EC379B" w:rsidRDefault="00D222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22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19331</w:t>
          </w:r>
        </w:p>
      </w:tc>
      <w:tc>
        <w:tcPr>
          <w:tcW w:w="2453" w:type="pct"/>
        </w:tcPr>
        <w:p w:rsidR="00EC379B" w:rsidRDefault="00D22226" w:rsidP="006D504F">
          <w:pPr>
            <w:pStyle w:val="Footer"/>
            <w:rPr>
              <w:rStyle w:val="PageNumber"/>
            </w:rPr>
          </w:pPr>
        </w:p>
        <w:p w:rsidR="00EC379B" w:rsidRDefault="00D222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2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22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22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22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B" w:rsidRDefault="00D22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226">
      <w:r>
        <w:separator/>
      </w:r>
    </w:p>
  </w:footnote>
  <w:footnote w:type="continuationSeparator" w:id="0">
    <w:p w:rsidR="00000000" w:rsidRDefault="00D2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B" w:rsidRDefault="00D22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B" w:rsidRDefault="00D22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1B" w:rsidRDefault="00D22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5"/>
    <w:rsid w:val="00D22226"/>
    <w:rsid w:val="00E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0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A7A"/>
  </w:style>
  <w:style w:type="paragraph" w:styleId="CommentSubject">
    <w:name w:val="annotation subject"/>
    <w:basedOn w:val="CommentText"/>
    <w:next w:val="CommentText"/>
    <w:link w:val="CommentSubjectChar"/>
    <w:rsid w:val="0092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A7A"/>
    <w:rPr>
      <w:b/>
      <w:bCs/>
    </w:rPr>
  </w:style>
  <w:style w:type="paragraph" w:customStyle="1" w:styleId="center">
    <w:name w:val="center"/>
    <w:basedOn w:val="Normal"/>
    <w:rsid w:val="00237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0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A7A"/>
  </w:style>
  <w:style w:type="paragraph" w:styleId="CommentSubject">
    <w:name w:val="annotation subject"/>
    <w:basedOn w:val="CommentText"/>
    <w:next w:val="CommentText"/>
    <w:link w:val="CommentSubjectChar"/>
    <w:rsid w:val="0092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A7A"/>
    <w:rPr>
      <w:b/>
      <w:bCs/>
    </w:rPr>
  </w:style>
  <w:style w:type="paragraph" w:customStyle="1" w:styleId="center">
    <w:name w:val="center"/>
    <w:basedOn w:val="Normal"/>
    <w:rsid w:val="00237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5561</Characters>
  <Application>Microsoft Office Word</Application>
  <DocSecurity>4</DocSecurity>
  <Lines>192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HB02040 (Committee Report (Substituted))</vt:lpstr>
    </vt:vector>
  </TitlesOfParts>
  <Company>State of Texas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22088</dc:subject>
  <dc:creator>State of Texas</dc:creator>
  <dc:description>HB 2040 by King, Phil-(H)County Affairs (Substitute Document Number: 85R 19331)</dc:description>
  <cp:lastModifiedBy>Molly Hoffman-Bricker</cp:lastModifiedBy>
  <cp:revision>2</cp:revision>
  <cp:lastPrinted>2017-04-02T20:35:00Z</cp:lastPrinted>
  <dcterms:created xsi:type="dcterms:W3CDTF">2017-04-11T16:10:00Z</dcterms:created>
  <dcterms:modified xsi:type="dcterms:W3CDTF">2017-04-11T16:10:00Z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17.96.773</vt:lpwstr>
  </property>
</Properties>
</file>