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979BC" w:rsidTr="00345119">
        <w:tc>
          <w:tcPr>
            <w:tcW w:w="9576" w:type="dxa"/>
            <w:noWrap/>
          </w:tcPr>
          <w:p w:rsidR="008423E4" w:rsidRPr="0022177D" w:rsidRDefault="00527F3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27F35" w:rsidP="008423E4">
      <w:pPr>
        <w:jc w:val="center"/>
      </w:pPr>
    </w:p>
    <w:p w:rsidR="008423E4" w:rsidRPr="00B31F0E" w:rsidRDefault="00527F35" w:rsidP="008423E4"/>
    <w:p w:rsidR="008423E4" w:rsidRPr="00742794" w:rsidRDefault="00527F3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979BC" w:rsidTr="00345119">
        <w:tc>
          <w:tcPr>
            <w:tcW w:w="9576" w:type="dxa"/>
          </w:tcPr>
          <w:p w:rsidR="008423E4" w:rsidRPr="00861995" w:rsidRDefault="00527F35" w:rsidP="00345119">
            <w:pPr>
              <w:jc w:val="right"/>
            </w:pPr>
            <w:r>
              <w:t>H.B. 2112</w:t>
            </w:r>
          </w:p>
        </w:tc>
      </w:tr>
      <w:tr w:rsidR="002979BC" w:rsidTr="00345119">
        <w:tc>
          <w:tcPr>
            <w:tcW w:w="9576" w:type="dxa"/>
          </w:tcPr>
          <w:p w:rsidR="008423E4" w:rsidRPr="00861995" w:rsidRDefault="00527F35" w:rsidP="00501B67">
            <w:pPr>
              <w:jc w:val="right"/>
            </w:pPr>
            <w:r>
              <w:t xml:space="preserve">By: </w:t>
            </w:r>
            <w:r>
              <w:t>Romero, Jr.</w:t>
            </w:r>
          </w:p>
        </w:tc>
      </w:tr>
      <w:tr w:rsidR="002979BC" w:rsidTr="00345119">
        <w:tc>
          <w:tcPr>
            <w:tcW w:w="9576" w:type="dxa"/>
          </w:tcPr>
          <w:p w:rsidR="008423E4" w:rsidRPr="00861995" w:rsidRDefault="00527F35" w:rsidP="00345119">
            <w:pPr>
              <w:jc w:val="right"/>
            </w:pPr>
            <w:r>
              <w:t>Business &amp; Industry</w:t>
            </w:r>
          </w:p>
        </w:tc>
      </w:tr>
      <w:tr w:rsidR="002979BC" w:rsidTr="00345119">
        <w:tc>
          <w:tcPr>
            <w:tcW w:w="9576" w:type="dxa"/>
          </w:tcPr>
          <w:p w:rsidR="008423E4" w:rsidRDefault="00527F3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27F35" w:rsidP="008423E4">
      <w:pPr>
        <w:tabs>
          <w:tab w:val="right" w:pos="9360"/>
        </w:tabs>
      </w:pPr>
    </w:p>
    <w:p w:rsidR="008423E4" w:rsidRDefault="00527F35" w:rsidP="008423E4"/>
    <w:p w:rsidR="008423E4" w:rsidRDefault="00527F3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979BC" w:rsidTr="00345119">
        <w:tc>
          <w:tcPr>
            <w:tcW w:w="9576" w:type="dxa"/>
          </w:tcPr>
          <w:p w:rsidR="008423E4" w:rsidRPr="00A8133F" w:rsidRDefault="00527F35" w:rsidP="00CC28A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27F35" w:rsidP="00CC28AE"/>
          <w:p w:rsidR="008423E4" w:rsidRDefault="00527F35" w:rsidP="00CC28AE">
            <w:pPr>
              <w:pStyle w:val="Header"/>
              <w:jc w:val="both"/>
            </w:pPr>
            <w:r>
              <w:t xml:space="preserve">Interested parties contend that certain reporting requirements pertaining to the workers' compensation division of the Texas Department of Insurance </w:t>
            </w:r>
            <w:r>
              <w:t>are now unnecessary</w:t>
            </w:r>
            <w:r>
              <w:t xml:space="preserve"> and that the division could better accomplish its mission if such requirements were eli</w:t>
            </w:r>
            <w:r>
              <w:t>minated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2112 seeks to </w:t>
            </w:r>
            <w:r>
              <w:t>address this obsolescence by eliminating certain division reporting and notification requirements</w:t>
            </w:r>
            <w:r>
              <w:t>.</w:t>
            </w:r>
          </w:p>
          <w:p w:rsidR="008423E4" w:rsidRPr="00E26B13" w:rsidRDefault="00527F35" w:rsidP="00CC28AE">
            <w:pPr>
              <w:rPr>
                <w:b/>
              </w:rPr>
            </w:pPr>
          </w:p>
        </w:tc>
      </w:tr>
      <w:tr w:rsidR="002979BC" w:rsidTr="00345119">
        <w:tc>
          <w:tcPr>
            <w:tcW w:w="9576" w:type="dxa"/>
          </w:tcPr>
          <w:p w:rsidR="0017725B" w:rsidRDefault="00527F35" w:rsidP="00CC28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27F35" w:rsidP="00CC28AE">
            <w:pPr>
              <w:rPr>
                <w:b/>
                <w:u w:val="single"/>
              </w:rPr>
            </w:pPr>
          </w:p>
          <w:p w:rsidR="000571D5" w:rsidRPr="000571D5" w:rsidRDefault="00527F35" w:rsidP="00CC28AE">
            <w:pPr>
              <w:jc w:val="both"/>
            </w:pPr>
            <w:r>
              <w:t>It is the committee's opinion that this bill does not expressly create a criminal offense, increase th</w:t>
            </w:r>
            <w:r>
              <w:t>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27F35" w:rsidP="00CC28AE">
            <w:pPr>
              <w:rPr>
                <w:b/>
                <w:u w:val="single"/>
              </w:rPr>
            </w:pPr>
          </w:p>
        </w:tc>
      </w:tr>
      <w:tr w:rsidR="002979BC" w:rsidTr="00345119">
        <w:tc>
          <w:tcPr>
            <w:tcW w:w="9576" w:type="dxa"/>
          </w:tcPr>
          <w:p w:rsidR="008423E4" w:rsidRPr="00A8133F" w:rsidRDefault="00527F35" w:rsidP="00CC28A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27F35" w:rsidP="00CC28AE"/>
          <w:p w:rsidR="000571D5" w:rsidRDefault="00527F35" w:rsidP="00CC28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527F35" w:rsidP="00CC28AE">
            <w:pPr>
              <w:rPr>
                <w:b/>
              </w:rPr>
            </w:pPr>
          </w:p>
        </w:tc>
      </w:tr>
      <w:tr w:rsidR="002979BC" w:rsidTr="00345119">
        <w:tc>
          <w:tcPr>
            <w:tcW w:w="9576" w:type="dxa"/>
          </w:tcPr>
          <w:p w:rsidR="008423E4" w:rsidRPr="00A8133F" w:rsidRDefault="00527F35" w:rsidP="00CC28A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27F35" w:rsidP="00CC28AE"/>
          <w:p w:rsidR="00405B75" w:rsidRDefault="00527F35" w:rsidP="00CC28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2112 </w:t>
            </w:r>
            <w:r>
              <w:t xml:space="preserve">amends the Labor Code to </w:t>
            </w:r>
            <w:r>
              <w:t xml:space="preserve">remove </w:t>
            </w:r>
            <w:r>
              <w:t xml:space="preserve">language specifying the means by which certain notice </w:t>
            </w:r>
            <w:r>
              <w:t xml:space="preserve">is filed with or delivered to, as applicable, the Texas Department of Insurance workers' compensation division </w:t>
            </w:r>
            <w:r>
              <w:t xml:space="preserve">regarding an employer who terminates workers' compensation insurance coverage obtained under the Texas Workers' Compensation Act or regarding an </w:t>
            </w:r>
            <w:r>
              <w:t>insurance company that cancels or does not renew a policy of workers' compensation insurance.</w:t>
            </w:r>
            <w:r>
              <w:t xml:space="preserve"> The bill replaces the requirements that the division mail certain information on receiving notice of an injury to or death of an employee to the affected employee</w:t>
            </w:r>
            <w:r>
              <w:t xml:space="preserve"> or </w:t>
            </w:r>
            <w:r>
              <w:t xml:space="preserve">legal </w:t>
            </w:r>
            <w:r>
              <w:t xml:space="preserve">beneficiary and the employer with requirements that the division send such information. </w:t>
            </w:r>
            <w:r>
              <w:t>The bill remove</w:t>
            </w:r>
            <w:r>
              <w:t>s</w:t>
            </w:r>
            <w:r>
              <w:t xml:space="preserve"> language specifying the means by which the division is required to contact an employee who is reported as injured. </w:t>
            </w:r>
          </w:p>
          <w:p w:rsidR="00405B75" w:rsidRDefault="00527F35" w:rsidP="00CC28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66C78" w:rsidRDefault="00527F35" w:rsidP="00CC28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2112 repeals the re</w:t>
            </w:r>
            <w:r>
              <w:t>quirements that an agreement or a joint agreement between an independent contractor and a hiring contract</w:t>
            </w:r>
            <w:r>
              <w:t>or</w:t>
            </w:r>
            <w:r>
              <w:t xml:space="preserve"> regarding the provision of workers' compensation insurance coverage be filed with the division by personal delivery or by registered or certified ma</w:t>
            </w:r>
            <w:r>
              <w:t>il and instead</w:t>
            </w:r>
            <w:r>
              <w:t xml:space="preserve"> </w:t>
            </w:r>
            <w:r>
              <w:t>requires a hiring contractor to send a copy of an agreement</w:t>
            </w:r>
            <w:r>
              <w:t xml:space="preserve"> or joint agreement</w:t>
            </w:r>
            <w:r>
              <w:t xml:space="preserve"> </w:t>
            </w:r>
            <w:r>
              <w:t xml:space="preserve">to the division on </w:t>
            </w:r>
            <w:r>
              <w:t>the division's</w:t>
            </w:r>
            <w:r>
              <w:t xml:space="preserve"> request.</w:t>
            </w:r>
            <w:r>
              <w:t xml:space="preserve"> </w:t>
            </w:r>
          </w:p>
          <w:p w:rsidR="00166C78" w:rsidRDefault="00527F35" w:rsidP="00CC28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069CB" w:rsidRDefault="00527F35" w:rsidP="00CC28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2112 removes the requirement that the division notify insurance carriers of the need for vocational rehabilitati</w:t>
            </w:r>
            <w:r>
              <w:t xml:space="preserve">on or training services </w:t>
            </w:r>
            <w:r>
              <w:t>and</w:t>
            </w:r>
            <w:r>
              <w:t xml:space="preserve"> the requirement that the division notify the affected insurance carrier if the division determines that an injured employee would be assisted by vocational rehabilitation</w:t>
            </w:r>
            <w:r>
              <w:t>.</w:t>
            </w:r>
            <w:r>
              <w:t xml:space="preserve"> </w:t>
            </w:r>
          </w:p>
          <w:p w:rsidR="00297F1F" w:rsidRDefault="00527F35" w:rsidP="00CC28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C2FFE" w:rsidRDefault="00527F35" w:rsidP="00CC28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2112 repeals </w:t>
            </w:r>
            <w:r>
              <w:t>the authorization for a private vend</w:t>
            </w:r>
            <w:r>
              <w:t>or of vocational rehabilitation services to register with the division and provisions</w:t>
            </w:r>
            <w:r>
              <w:t xml:space="preserve"> relating to </w:t>
            </w:r>
            <w:r>
              <w:t xml:space="preserve">the following: </w:t>
            </w:r>
            <w:r>
              <w:t xml:space="preserve">the </w:t>
            </w:r>
            <w:r>
              <w:t xml:space="preserve">implementation of a </w:t>
            </w:r>
            <w:r>
              <w:t>strategic management plan</w:t>
            </w:r>
            <w:r>
              <w:t xml:space="preserve"> by the commissioner of workers' compensation, </w:t>
            </w:r>
            <w:r>
              <w:t xml:space="preserve">the study on </w:t>
            </w:r>
            <w:r w:rsidRPr="00CC2FFE">
              <w:lastRenderedPageBreak/>
              <w:t>interdisciplinary pain rehabilitat</w:t>
            </w:r>
            <w:r w:rsidRPr="00CC2FFE">
              <w:t>ion program</w:t>
            </w:r>
            <w:r>
              <w:t>s</w:t>
            </w:r>
            <w:r w:rsidRPr="00CC2FFE">
              <w:t xml:space="preserve"> and facility accreditation requirement</w:t>
            </w:r>
            <w:r>
              <w:t>s</w:t>
            </w:r>
            <w:r>
              <w:t xml:space="preserve">, and </w:t>
            </w:r>
            <w:r>
              <w:t xml:space="preserve">the </w:t>
            </w:r>
            <w:r>
              <w:t>commissioner's</w:t>
            </w:r>
            <w:r w:rsidRPr="00CC2FFE">
              <w:t xml:space="preserve"> </w:t>
            </w:r>
            <w:r w:rsidRPr="00CC2FFE">
              <w:t xml:space="preserve">determination of </w:t>
            </w:r>
            <w:r>
              <w:t xml:space="preserve">whether any </w:t>
            </w:r>
            <w:r w:rsidRPr="00CC2FFE">
              <w:t>extended unemployment or underemployment</w:t>
            </w:r>
            <w:r>
              <w:t xml:space="preserve"> is a direct result of an employee's impairment during the period that impairment income benefits or supplemen</w:t>
            </w:r>
            <w:r>
              <w:t>tal income benefits are being paid to the employee</w:t>
            </w:r>
            <w:r>
              <w:t>.</w:t>
            </w:r>
          </w:p>
          <w:p w:rsidR="00CC2FFE" w:rsidRDefault="00527F35" w:rsidP="00CC28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C2FFE" w:rsidRDefault="00527F35" w:rsidP="00CC28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2112 repeals </w:t>
            </w:r>
            <w:r>
              <w:t>the following provisions of the</w:t>
            </w:r>
            <w:r>
              <w:t xml:space="preserve"> Labor Code</w:t>
            </w:r>
            <w:r>
              <w:t>:</w:t>
            </w:r>
          </w:p>
          <w:p w:rsidR="00E54353" w:rsidRDefault="00527F35" w:rsidP="00CC28AE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402.074</w:t>
            </w:r>
          </w:p>
          <w:p w:rsidR="00E54353" w:rsidRDefault="00527F35" w:rsidP="00CC28AE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406.144(c)</w:t>
            </w:r>
          </w:p>
          <w:p w:rsidR="00E54353" w:rsidRDefault="00527F35" w:rsidP="00CC28AE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Sections 406.145(b) and (d)</w:t>
            </w:r>
          </w:p>
          <w:p w:rsidR="00E54353" w:rsidRDefault="00527F35" w:rsidP="00CC28AE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408.032</w:t>
            </w:r>
          </w:p>
          <w:p w:rsidR="00E54353" w:rsidRDefault="00527F35" w:rsidP="00CC28AE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408.086</w:t>
            </w:r>
          </w:p>
          <w:p w:rsidR="00E54353" w:rsidRPr="00166C78" w:rsidRDefault="00527F35" w:rsidP="00CC28A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409.012(d)</w:t>
            </w:r>
          </w:p>
          <w:p w:rsidR="008423E4" w:rsidRPr="00835628" w:rsidRDefault="00527F35" w:rsidP="00CC28AE">
            <w:pPr>
              <w:rPr>
                <w:b/>
              </w:rPr>
            </w:pPr>
          </w:p>
        </w:tc>
      </w:tr>
      <w:tr w:rsidR="002979BC" w:rsidTr="00345119">
        <w:tc>
          <w:tcPr>
            <w:tcW w:w="9576" w:type="dxa"/>
          </w:tcPr>
          <w:p w:rsidR="008423E4" w:rsidRPr="00A8133F" w:rsidRDefault="00527F35" w:rsidP="00CC28AE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27F35" w:rsidP="00CC28AE"/>
          <w:p w:rsidR="008423E4" w:rsidRPr="003624F2" w:rsidRDefault="00527F35" w:rsidP="00CC28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</w:t>
            </w:r>
            <w:r>
              <w:t>passage, or, if the bill does not receive the necessary vote, September 1, 2017.</w:t>
            </w:r>
          </w:p>
          <w:p w:rsidR="008423E4" w:rsidRPr="00233FDB" w:rsidRDefault="00527F35" w:rsidP="00CC28AE">
            <w:pPr>
              <w:rPr>
                <w:b/>
              </w:rPr>
            </w:pPr>
          </w:p>
        </w:tc>
      </w:tr>
    </w:tbl>
    <w:p w:rsidR="008423E4" w:rsidRPr="00BE0E75" w:rsidRDefault="00527F3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27F35" w:rsidP="008423E4"/>
    <w:sectPr w:rsidR="004108C3" w:rsidRPr="008423E4" w:rsidSect="006D5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7F35">
      <w:r>
        <w:separator/>
      </w:r>
    </w:p>
  </w:endnote>
  <w:endnote w:type="continuationSeparator" w:id="0">
    <w:p w:rsidR="00000000" w:rsidRDefault="0052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C0" w:rsidRDefault="00527F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979BC" w:rsidTr="009C1E9A">
      <w:trPr>
        <w:cantSplit/>
      </w:trPr>
      <w:tc>
        <w:tcPr>
          <w:tcW w:w="0" w:type="pct"/>
        </w:tcPr>
        <w:p w:rsidR="00137D90" w:rsidRDefault="00527F3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27F3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27F3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27F3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27F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979BC" w:rsidTr="009C1E9A">
      <w:trPr>
        <w:cantSplit/>
      </w:trPr>
      <w:tc>
        <w:tcPr>
          <w:tcW w:w="0" w:type="pct"/>
        </w:tcPr>
        <w:p w:rsidR="00EC379B" w:rsidRDefault="00527F3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27F3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18858</w:t>
          </w:r>
        </w:p>
      </w:tc>
      <w:tc>
        <w:tcPr>
          <w:tcW w:w="2453" w:type="pct"/>
        </w:tcPr>
        <w:p w:rsidR="00EC379B" w:rsidRDefault="00527F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17.81.426</w:t>
          </w:r>
          <w:r>
            <w:fldChar w:fldCharType="end"/>
          </w:r>
        </w:p>
      </w:tc>
    </w:tr>
    <w:tr w:rsidR="002979BC" w:rsidTr="009C1E9A">
      <w:trPr>
        <w:cantSplit/>
      </w:trPr>
      <w:tc>
        <w:tcPr>
          <w:tcW w:w="0" w:type="pct"/>
        </w:tcPr>
        <w:p w:rsidR="00EC379B" w:rsidRDefault="00527F3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27F3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27F35" w:rsidP="006D504F">
          <w:pPr>
            <w:pStyle w:val="Footer"/>
            <w:rPr>
              <w:rStyle w:val="PageNumber"/>
            </w:rPr>
          </w:pPr>
        </w:p>
        <w:p w:rsidR="00EC379B" w:rsidRDefault="00527F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979B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27F3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27F3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27F3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C0" w:rsidRDefault="00527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7F35">
      <w:r>
        <w:separator/>
      </w:r>
    </w:p>
  </w:footnote>
  <w:footnote w:type="continuationSeparator" w:id="0">
    <w:p w:rsidR="00000000" w:rsidRDefault="00527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C0" w:rsidRDefault="00527F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C0" w:rsidRDefault="00527F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C0" w:rsidRDefault="00527F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A0CE5"/>
    <w:multiLevelType w:val="hybridMultilevel"/>
    <w:tmpl w:val="CDF8309C"/>
    <w:lvl w:ilvl="0" w:tplc="160E9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BE85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3000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87E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364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BA61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ACC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84F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5060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BC"/>
    <w:rsid w:val="002979BC"/>
    <w:rsid w:val="0052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341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4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416E"/>
  </w:style>
  <w:style w:type="paragraph" w:styleId="CommentSubject">
    <w:name w:val="annotation subject"/>
    <w:basedOn w:val="CommentText"/>
    <w:next w:val="CommentText"/>
    <w:link w:val="CommentSubjectChar"/>
    <w:rsid w:val="00634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41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341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4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416E"/>
  </w:style>
  <w:style w:type="paragraph" w:styleId="CommentSubject">
    <w:name w:val="annotation subject"/>
    <w:basedOn w:val="CommentText"/>
    <w:next w:val="CommentText"/>
    <w:link w:val="CommentSubjectChar"/>
    <w:rsid w:val="00634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41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2953</Characters>
  <Application>Microsoft Office Word</Application>
  <DocSecurity>4</DocSecurity>
  <Lines>74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HB02112 (Committee Report (Unamended))</vt:lpstr>
    </vt:vector>
  </TitlesOfParts>
  <Company>State of Texas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18858</dc:subject>
  <dc:creator>State of Texas</dc:creator>
  <dc:description>HB 2112 by Romero, Jr.-(H)Business &amp; Industry</dc:description>
  <cp:lastModifiedBy>Brianna Weis</cp:lastModifiedBy>
  <cp:revision>2</cp:revision>
  <cp:lastPrinted>2017-03-22T18:52:00Z</cp:lastPrinted>
  <dcterms:created xsi:type="dcterms:W3CDTF">2017-04-05T19:13:00Z</dcterms:created>
  <dcterms:modified xsi:type="dcterms:W3CDTF">2017-04-05T19:13:00Z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17.81.426</vt:lpwstr>
  </property>
</Properties>
</file>