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E505B" w:rsidTr="00345119">
        <w:tc>
          <w:tcPr>
            <w:tcW w:w="9576" w:type="dxa"/>
            <w:noWrap/>
          </w:tcPr>
          <w:p w:rsidR="008423E4" w:rsidRPr="0022177D" w:rsidRDefault="003D41AD" w:rsidP="00345119">
            <w:pPr>
              <w:pStyle w:val="Heading1"/>
            </w:pPr>
            <w:bookmarkStart w:id="0" w:name="_GoBack"/>
            <w:bookmarkEnd w:id="0"/>
            <w:r w:rsidRPr="00631897">
              <w:t>BILL ANALYSIS</w:t>
            </w:r>
          </w:p>
        </w:tc>
      </w:tr>
    </w:tbl>
    <w:p w:rsidR="008423E4" w:rsidRPr="0022177D" w:rsidRDefault="00D153D9" w:rsidP="008423E4">
      <w:pPr>
        <w:jc w:val="center"/>
      </w:pPr>
    </w:p>
    <w:p w:rsidR="008423E4" w:rsidRPr="00B31F0E" w:rsidRDefault="00D153D9" w:rsidP="008423E4"/>
    <w:p w:rsidR="008423E4" w:rsidRPr="00742794" w:rsidRDefault="00D153D9" w:rsidP="008423E4">
      <w:pPr>
        <w:tabs>
          <w:tab w:val="right" w:pos="9360"/>
        </w:tabs>
      </w:pPr>
    </w:p>
    <w:tbl>
      <w:tblPr>
        <w:tblW w:w="0" w:type="auto"/>
        <w:tblLayout w:type="fixed"/>
        <w:tblLook w:val="01E0" w:firstRow="1" w:lastRow="1" w:firstColumn="1" w:lastColumn="1" w:noHBand="0" w:noVBand="0"/>
      </w:tblPr>
      <w:tblGrid>
        <w:gridCol w:w="9576"/>
      </w:tblGrid>
      <w:tr w:rsidR="007E505B" w:rsidTr="00345119">
        <w:tc>
          <w:tcPr>
            <w:tcW w:w="9576" w:type="dxa"/>
          </w:tcPr>
          <w:p w:rsidR="008423E4" w:rsidRPr="00861995" w:rsidRDefault="003D41AD" w:rsidP="00345119">
            <w:pPr>
              <w:jc w:val="right"/>
            </w:pPr>
            <w:r>
              <w:t>C.S.H.B. 2275</w:t>
            </w:r>
          </w:p>
        </w:tc>
      </w:tr>
      <w:tr w:rsidR="007E505B" w:rsidTr="00345119">
        <w:tc>
          <w:tcPr>
            <w:tcW w:w="9576" w:type="dxa"/>
          </w:tcPr>
          <w:p w:rsidR="008423E4" w:rsidRPr="00861995" w:rsidRDefault="003D41AD" w:rsidP="008F0779">
            <w:pPr>
              <w:jc w:val="right"/>
            </w:pPr>
            <w:r>
              <w:t>By: Paddie</w:t>
            </w:r>
          </w:p>
        </w:tc>
      </w:tr>
      <w:tr w:rsidR="007E505B" w:rsidTr="00345119">
        <w:tc>
          <w:tcPr>
            <w:tcW w:w="9576" w:type="dxa"/>
          </w:tcPr>
          <w:p w:rsidR="008423E4" w:rsidRPr="00861995" w:rsidRDefault="003D41AD" w:rsidP="00345119">
            <w:pPr>
              <w:jc w:val="right"/>
            </w:pPr>
            <w:r>
              <w:t>Licensing &amp; Administrative Procedures</w:t>
            </w:r>
          </w:p>
        </w:tc>
      </w:tr>
      <w:tr w:rsidR="007E505B" w:rsidTr="00345119">
        <w:tc>
          <w:tcPr>
            <w:tcW w:w="9576" w:type="dxa"/>
          </w:tcPr>
          <w:p w:rsidR="008423E4" w:rsidRDefault="003D41AD" w:rsidP="00345119">
            <w:pPr>
              <w:jc w:val="right"/>
            </w:pPr>
            <w:r>
              <w:t>Committee Report (Substituted)</w:t>
            </w:r>
          </w:p>
        </w:tc>
      </w:tr>
    </w:tbl>
    <w:p w:rsidR="008423E4" w:rsidRDefault="00D153D9" w:rsidP="008423E4">
      <w:pPr>
        <w:tabs>
          <w:tab w:val="right" w:pos="9360"/>
        </w:tabs>
      </w:pPr>
    </w:p>
    <w:p w:rsidR="008423E4" w:rsidRDefault="00D153D9" w:rsidP="008423E4"/>
    <w:p w:rsidR="008423E4" w:rsidRDefault="00D153D9" w:rsidP="008423E4"/>
    <w:tbl>
      <w:tblPr>
        <w:tblW w:w="0" w:type="auto"/>
        <w:tblCellMar>
          <w:left w:w="115" w:type="dxa"/>
          <w:right w:w="115" w:type="dxa"/>
        </w:tblCellMar>
        <w:tblLook w:val="01E0" w:firstRow="1" w:lastRow="1" w:firstColumn="1" w:lastColumn="1" w:noHBand="0" w:noVBand="0"/>
      </w:tblPr>
      <w:tblGrid>
        <w:gridCol w:w="9582"/>
      </w:tblGrid>
      <w:tr w:rsidR="007E505B" w:rsidTr="008F0779">
        <w:tc>
          <w:tcPr>
            <w:tcW w:w="9582" w:type="dxa"/>
          </w:tcPr>
          <w:p w:rsidR="008423E4" w:rsidRPr="00A8133F" w:rsidRDefault="003D41AD" w:rsidP="009A2C05">
            <w:pPr>
              <w:rPr>
                <w:b/>
              </w:rPr>
            </w:pPr>
            <w:r w:rsidRPr="009C1E9A">
              <w:rPr>
                <w:b/>
                <w:u w:val="single"/>
              </w:rPr>
              <w:t>BACKGROUND AND PURPOSE</w:t>
            </w:r>
            <w:r>
              <w:rPr>
                <w:b/>
              </w:rPr>
              <w:t xml:space="preserve"> </w:t>
            </w:r>
          </w:p>
          <w:p w:rsidR="008423E4" w:rsidRDefault="00D153D9" w:rsidP="009A2C05"/>
          <w:p w:rsidR="008423E4" w:rsidRDefault="003D41AD" w:rsidP="009A2C05">
            <w:pPr>
              <w:pStyle w:val="Header"/>
              <w:tabs>
                <w:tab w:val="clear" w:pos="4320"/>
                <w:tab w:val="clear" w:pos="8640"/>
              </w:tabs>
              <w:jc w:val="both"/>
            </w:pPr>
            <w:r>
              <w:t>Concerns have been raised regarding the increasing cost of replacing motor vehicle keys and key fobs and interested parties have expressed a need for coverage under service contracts for keys and key fobs that are lost, stolen, or inoperable. C.S.H.B. 2275 seeks to address this issue by authorizing service contracts to provide that coverage.</w:t>
            </w:r>
          </w:p>
          <w:p w:rsidR="008423E4" w:rsidRPr="00E26B13" w:rsidRDefault="00D153D9" w:rsidP="009A2C05">
            <w:pPr>
              <w:rPr>
                <w:b/>
              </w:rPr>
            </w:pPr>
          </w:p>
        </w:tc>
      </w:tr>
      <w:tr w:rsidR="007E505B" w:rsidTr="008F0779">
        <w:tc>
          <w:tcPr>
            <w:tcW w:w="9582" w:type="dxa"/>
          </w:tcPr>
          <w:p w:rsidR="0017725B" w:rsidRDefault="003D41AD" w:rsidP="009A2C05">
            <w:pPr>
              <w:rPr>
                <w:b/>
                <w:u w:val="single"/>
              </w:rPr>
            </w:pPr>
            <w:r>
              <w:rPr>
                <w:b/>
                <w:u w:val="single"/>
              </w:rPr>
              <w:t>CRIMINAL JUSTICE IMPACT</w:t>
            </w:r>
          </w:p>
          <w:p w:rsidR="0017725B" w:rsidRDefault="00D153D9" w:rsidP="009A2C05">
            <w:pPr>
              <w:rPr>
                <w:b/>
                <w:u w:val="single"/>
              </w:rPr>
            </w:pPr>
          </w:p>
          <w:p w:rsidR="00D24545" w:rsidRPr="00D24545" w:rsidRDefault="003D41AD" w:rsidP="009A2C05">
            <w:pPr>
              <w:jc w:val="both"/>
            </w:pPr>
            <w:r>
              <w:t>It is the committee's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D153D9" w:rsidP="009A2C05">
            <w:pPr>
              <w:rPr>
                <w:b/>
                <w:u w:val="single"/>
              </w:rPr>
            </w:pPr>
          </w:p>
        </w:tc>
      </w:tr>
      <w:tr w:rsidR="007E505B" w:rsidTr="008F0779">
        <w:tc>
          <w:tcPr>
            <w:tcW w:w="9582" w:type="dxa"/>
          </w:tcPr>
          <w:p w:rsidR="008423E4" w:rsidRPr="00A8133F" w:rsidRDefault="003D41AD" w:rsidP="009A2C05">
            <w:pPr>
              <w:rPr>
                <w:b/>
              </w:rPr>
            </w:pPr>
            <w:r w:rsidRPr="009C1E9A">
              <w:rPr>
                <w:b/>
                <w:u w:val="single"/>
              </w:rPr>
              <w:t>RULEMAKING AUTHORITY</w:t>
            </w:r>
            <w:r>
              <w:rPr>
                <w:b/>
              </w:rPr>
              <w:t xml:space="preserve"> </w:t>
            </w:r>
          </w:p>
          <w:p w:rsidR="008423E4" w:rsidRDefault="00D153D9" w:rsidP="009A2C05"/>
          <w:p w:rsidR="00D24545" w:rsidRDefault="003D41AD" w:rsidP="009A2C05">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D153D9" w:rsidP="009A2C05">
            <w:pPr>
              <w:rPr>
                <w:b/>
              </w:rPr>
            </w:pPr>
          </w:p>
        </w:tc>
      </w:tr>
      <w:tr w:rsidR="007E505B" w:rsidTr="008F0779">
        <w:tc>
          <w:tcPr>
            <w:tcW w:w="9582" w:type="dxa"/>
          </w:tcPr>
          <w:p w:rsidR="008423E4" w:rsidRPr="00A8133F" w:rsidRDefault="003D41AD" w:rsidP="009A2C05">
            <w:pPr>
              <w:rPr>
                <w:b/>
              </w:rPr>
            </w:pPr>
            <w:r w:rsidRPr="009C1E9A">
              <w:rPr>
                <w:b/>
                <w:u w:val="single"/>
              </w:rPr>
              <w:t>ANALYSIS</w:t>
            </w:r>
            <w:r>
              <w:rPr>
                <w:b/>
              </w:rPr>
              <w:t xml:space="preserve"> </w:t>
            </w:r>
          </w:p>
          <w:p w:rsidR="008423E4" w:rsidRDefault="00D153D9" w:rsidP="009A2C05"/>
          <w:p w:rsidR="008423E4" w:rsidRDefault="003D41AD" w:rsidP="009A2C05">
            <w:pPr>
              <w:pStyle w:val="Header"/>
              <w:tabs>
                <w:tab w:val="clear" w:pos="4320"/>
                <w:tab w:val="clear" w:pos="8640"/>
              </w:tabs>
              <w:jc w:val="both"/>
            </w:pPr>
            <w:r>
              <w:t>C.S.H.B. 2275 amends the Occupations Code to authorize a service contract under the</w:t>
            </w:r>
            <w:r w:rsidRPr="002403AC">
              <w:t xml:space="preserve"> Service Contract Regulatory Act</w:t>
            </w:r>
            <w:r>
              <w:t xml:space="preserve"> to provide for the </w:t>
            </w:r>
            <w:r w:rsidRPr="00947AF2">
              <w:t>replacement of a motor vehicle key or key</w:t>
            </w:r>
            <w:r>
              <w:t xml:space="preserve"> </w:t>
            </w:r>
            <w:r w:rsidRPr="00947AF2">
              <w:t>fob in the event that the key or key</w:t>
            </w:r>
            <w:r>
              <w:t xml:space="preserve"> </w:t>
            </w:r>
            <w:r w:rsidRPr="00947AF2">
              <w:t xml:space="preserve">fob </w:t>
            </w:r>
            <w:r>
              <w:t>is</w:t>
            </w:r>
            <w:r w:rsidRPr="00947AF2">
              <w:t xml:space="preserve"> inoperable</w:t>
            </w:r>
            <w:r>
              <w:t>,</w:t>
            </w:r>
            <w:r w:rsidRPr="00947AF2">
              <w:t xml:space="preserve"> lost</w:t>
            </w:r>
            <w:r>
              <w:t>,</w:t>
            </w:r>
            <w:r w:rsidRPr="00947AF2">
              <w:t xml:space="preserve"> or stolen</w:t>
            </w:r>
            <w:r>
              <w:t>. The bill specifies that a</w:t>
            </w:r>
            <w:r w:rsidRPr="00947AF2">
              <w:t xml:space="preserve"> </w:t>
            </w:r>
            <w:r>
              <w:t xml:space="preserve">service contract </w:t>
            </w:r>
            <w:r w:rsidRPr="00947AF2">
              <w:t xml:space="preserve">provider is not required to deduct the amount of any claims paid under </w:t>
            </w:r>
            <w:r>
              <w:t>the</w:t>
            </w:r>
            <w:r w:rsidRPr="00947AF2">
              <w:t xml:space="preserve"> contract from the amount of a refund </w:t>
            </w:r>
            <w:r>
              <w:t xml:space="preserve">of the contract's purchase price </w:t>
            </w:r>
            <w:r w:rsidRPr="00947AF2">
              <w:t xml:space="preserve">due </w:t>
            </w:r>
            <w:r>
              <w:t>as a result of cancellation of the contract by the service contract holder or by the provider.</w:t>
            </w:r>
          </w:p>
          <w:p w:rsidR="008423E4" w:rsidRPr="00835628" w:rsidRDefault="00D153D9" w:rsidP="009A2C05">
            <w:pPr>
              <w:rPr>
                <w:b/>
              </w:rPr>
            </w:pPr>
          </w:p>
        </w:tc>
      </w:tr>
      <w:tr w:rsidR="007E505B" w:rsidTr="008F0779">
        <w:tc>
          <w:tcPr>
            <w:tcW w:w="9582" w:type="dxa"/>
          </w:tcPr>
          <w:p w:rsidR="008423E4" w:rsidRPr="00A8133F" w:rsidRDefault="003D41AD" w:rsidP="009A2C05">
            <w:pPr>
              <w:rPr>
                <w:b/>
              </w:rPr>
            </w:pPr>
            <w:r w:rsidRPr="009C1E9A">
              <w:rPr>
                <w:b/>
                <w:u w:val="single"/>
              </w:rPr>
              <w:t>EFFECTIVE DATE</w:t>
            </w:r>
            <w:r>
              <w:rPr>
                <w:b/>
              </w:rPr>
              <w:t xml:space="preserve"> </w:t>
            </w:r>
          </w:p>
          <w:p w:rsidR="008423E4" w:rsidRDefault="00D153D9" w:rsidP="009A2C05"/>
          <w:p w:rsidR="008423E4" w:rsidRPr="003624F2" w:rsidRDefault="003D41AD" w:rsidP="009A2C05">
            <w:pPr>
              <w:pStyle w:val="Header"/>
              <w:tabs>
                <w:tab w:val="clear" w:pos="4320"/>
                <w:tab w:val="clear" w:pos="8640"/>
              </w:tabs>
              <w:jc w:val="both"/>
            </w:pPr>
            <w:r>
              <w:t>September 1, 2017.</w:t>
            </w:r>
          </w:p>
          <w:p w:rsidR="008423E4" w:rsidRPr="00233FDB" w:rsidRDefault="00D153D9" w:rsidP="009A2C05">
            <w:pPr>
              <w:rPr>
                <w:b/>
              </w:rPr>
            </w:pPr>
          </w:p>
        </w:tc>
      </w:tr>
      <w:tr w:rsidR="007E505B" w:rsidTr="008F0779">
        <w:tc>
          <w:tcPr>
            <w:tcW w:w="9582" w:type="dxa"/>
          </w:tcPr>
          <w:p w:rsidR="008F0779" w:rsidRDefault="003D41AD" w:rsidP="009A2C05">
            <w:pPr>
              <w:jc w:val="both"/>
              <w:rPr>
                <w:b/>
                <w:u w:val="single"/>
              </w:rPr>
            </w:pPr>
            <w:r>
              <w:rPr>
                <w:b/>
                <w:u w:val="single"/>
              </w:rPr>
              <w:t>COMPARISON OF ORIGINAL AND SUBSTITUTE</w:t>
            </w:r>
          </w:p>
          <w:p w:rsidR="00170D50" w:rsidRDefault="00D153D9" w:rsidP="009A2C05">
            <w:pPr>
              <w:jc w:val="both"/>
            </w:pPr>
          </w:p>
          <w:p w:rsidR="00170D50" w:rsidRDefault="003D41AD" w:rsidP="009A2C05">
            <w:pPr>
              <w:jc w:val="both"/>
            </w:pPr>
            <w:r>
              <w:t>C.S.H.B. 2275 differs from the original in minor or nonsubstantive ways by conforming to certain bill drafting conventions.</w:t>
            </w:r>
          </w:p>
          <w:p w:rsidR="00170D50" w:rsidRPr="00170D50" w:rsidRDefault="00D153D9" w:rsidP="009A2C05">
            <w:pPr>
              <w:jc w:val="both"/>
            </w:pPr>
          </w:p>
          <w:p w:rsidR="00DF0BDB" w:rsidRPr="00034A32" w:rsidRDefault="00D153D9" w:rsidP="009A2C05">
            <w:pPr>
              <w:jc w:val="both"/>
            </w:pPr>
          </w:p>
        </w:tc>
      </w:tr>
      <w:tr w:rsidR="007E505B" w:rsidTr="008F0779">
        <w:tc>
          <w:tcPr>
            <w:tcW w:w="9582" w:type="dxa"/>
          </w:tcPr>
          <w:p w:rsidR="008F0779" w:rsidRDefault="00D153D9" w:rsidP="009A2C05"/>
          <w:p w:rsidR="008F0779" w:rsidRPr="009C1E9A" w:rsidRDefault="00D153D9" w:rsidP="009A2C05">
            <w:pPr>
              <w:rPr>
                <w:b/>
                <w:u w:val="single"/>
              </w:rPr>
            </w:pPr>
          </w:p>
        </w:tc>
      </w:tr>
    </w:tbl>
    <w:p w:rsidR="008423E4" w:rsidRPr="00BE0E75" w:rsidRDefault="00D153D9" w:rsidP="008423E4">
      <w:pPr>
        <w:spacing w:line="480" w:lineRule="auto"/>
        <w:jc w:val="both"/>
        <w:rPr>
          <w:rFonts w:ascii="Arial" w:hAnsi="Arial"/>
          <w:sz w:val="16"/>
          <w:szCs w:val="16"/>
        </w:rPr>
      </w:pPr>
    </w:p>
    <w:p w:rsidR="004108C3" w:rsidRPr="008423E4" w:rsidRDefault="00D153D9"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AEA" w:rsidRDefault="003D41AD">
      <w:r>
        <w:separator/>
      </w:r>
    </w:p>
  </w:endnote>
  <w:endnote w:type="continuationSeparator" w:id="0">
    <w:p w:rsidR="00800AEA" w:rsidRDefault="003D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00" w:rsidRDefault="00D15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E505B" w:rsidTr="009C1E9A">
      <w:trPr>
        <w:cantSplit/>
      </w:trPr>
      <w:tc>
        <w:tcPr>
          <w:tcW w:w="0" w:type="pct"/>
        </w:tcPr>
        <w:p w:rsidR="00137D90" w:rsidRDefault="00D153D9" w:rsidP="009C1E9A">
          <w:pPr>
            <w:pStyle w:val="Footer"/>
            <w:tabs>
              <w:tab w:val="clear" w:pos="8640"/>
              <w:tab w:val="right" w:pos="9360"/>
            </w:tabs>
          </w:pPr>
        </w:p>
      </w:tc>
      <w:tc>
        <w:tcPr>
          <w:tcW w:w="2395" w:type="pct"/>
        </w:tcPr>
        <w:p w:rsidR="00137D90" w:rsidRDefault="00D153D9" w:rsidP="009C1E9A">
          <w:pPr>
            <w:pStyle w:val="Footer"/>
            <w:tabs>
              <w:tab w:val="clear" w:pos="8640"/>
              <w:tab w:val="right" w:pos="9360"/>
            </w:tabs>
          </w:pPr>
        </w:p>
        <w:p w:rsidR="001A4310" w:rsidRDefault="00D153D9" w:rsidP="009C1E9A">
          <w:pPr>
            <w:pStyle w:val="Footer"/>
            <w:tabs>
              <w:tab w:val="clear" w:pos="8640"/>
              <w:tab w:val="right" w:pos="9360"/>
            </w:tabs>
          </w:pPr>
        </w:p>
        <w:p w:rsidR="00137D90" w:rsidRDefault="00D153D9" w:rsidP="009C1E9A">
          <w:pPr>
            <w:pStyle w:val="Footer"/>
            <w:tabs>
              <w:tab w:val="clear" w:pos="8640"/>
              <w:tab w:val="right" w:pos="9360"/>
            </w:tabs>
          </w:pPr>
        </w:p>
      </w:tc>
      <w:tc>
        <w:tcPr>
          <w:tcW w:w="2453" w:type="pct"/>
        </w:tcPr>
        <w:p w:rsidR="00137D90" w:rsidRDefault="00D153D9" w:rsidP="009C1E9A">
          <w:pPr>
            <w:pStyle w:val="Footer"/>
            <w:tabs>
              <w:tab w:val="clear" w:pos="8640"/>
              <w:tab w:val="right" w:pos="9360"/>
            </w:tabs>
            <w:jc w:val="right"/>
          </w:pPr>
        </w:p>
      </w:tc>
    </w:tr>
    <w:tr w:rsidR="007E505B" w:rsidTr="009C1E9A">
      <w:trPr>
        <w:cantSplit/>
      </w:trPr>
      <w:tc>
        <w:tcPr>
          <w:tcW w:w="0" w:type="pct"/>
        </w:tcPr>
        <w:p w:rsidR="00EC379B" w:rsidRDefault="00D153D9" w:rsidP="009C1E9A">
          <w:pPr>
            <w:pStyle w:val="Footer"/>
            <w:tabs>
              <w:tab w:val="clear" w:pos="8640"/>
              <w:tab w:val="right" w:pos="9360"/>
            </w:tabs>
          </w:pPr>
        </w:p>
      </w:tc>
      <w:tc>
        <w:tcPr>
          <w:tcW w:w="2395" w:type="pct"/>
        </w:tcPr>
        <w:p w:rsidR="00EC379B" w:rsidRPr="009C1E9A" w:rsidRDefault="003D41AD" w:rsidP="009C1E9A">
          <w:pPr>
            <w:pStyle w:val="Footer"/>
            <w:tabs>
              <w:tab w:val="clear" w:pos="8640"/>
              <w:tab w:val="right" w:pos="9360"/>
            </w:tabs>
            <w:rPr>
              <w:rFonts w:ascii="Shruti" w:hAnsi="Shruti"/>
              <w:sz w:val="22"/>
            </w:rPr>
          </w:pPr>
          <w:r>
            <w:rPr>
              <w:rFonts w:ascii="Shruti" w:hAnsi="Shruti"/>
              <w:sz w:val="22"/>
            </w:rPr>
            <w:t>85R 21442</w:t>
          </w:r>
        </w:p>
      </w:tc>
      <w:tc>
        <w:tcPr>
          <w:tcW w:w="2453" w:type="pct"/>
        </w:tcPr>
        <w:p w:rsidR="00EC379B" w:rsidRDefault="003D41AD" w:rsidP="009C1E9A">
          <w:pPr>
            <w:pStyle w:val="Footer"/>
            <w:tabs>
              <w:tab w:val="clear" w:pos="8640"/>
              <w:tab w:val="right" w:pos="9360"/>
            </w:tabs>
            <w:jc w:val="right"/>
          </w:pPr>
          <w:fldSimple w:instr=" DOCPROPERTY  OTID  \* MERGEFORMAT ">
            <w:r>
              <w:t>17.94.637</w:t>
            </w:r>
          </w:fldSimple>
        </w:p>
      </w:tc>
    </w:tr>
    <w:tr w:rsidR="007E505B" w:rsidTr="009C1E9A">
      <w:trPr>
        <w:cantSplit/>
      </w:trPr>
      <w:tc>
        <w:tcPr>
          <w:tcW w:w="0" w:type="pct"/>
        </w:tcPr>
        <w:p w:rsidR="00EC379B" w:rsidRDefault="00D153D9" w:rsidP="009C1E9A">
          <w:pPr>
            <w:pStyle w:val="Footer"/>
            <w:tabs>
              <w:tab w:val="clear" w:pos="4320"/>
              <w:tab w:val="clear" w:pos="8640"/>
              <w:tab w:val="left" w:pos="2865"/>
            </w:tabs>
          </w:pPr>
        </w:p>
      </w:tc>
      <w:tc>
        <w:tcPr>
          <w:tcW w:w="2395" w:type="pct"/>
        </w:tcPr>
        <w:p w:rsidR="00EC379B" w:rsidRPr="009C1E9A" w:rsidRDefault="003D41AD" w:rsidP="009C1E9A">
          <w:pPr>
            <w:pStyle w:val="Footer"/>
            <w:tabs>
              <w:tab w:val="clear" w:pos="4320"/>
              <w:tab w:val="clear" w:pos="8640"/>
              <w:tab w:val="left" w:pos="2865"/>
            </w:tabs>
            <w:rPr>
              <w:rFonts w:ascii="Shruti" w:hAnsi="Shruti"/>
              <w:sz w:val="22"/>
            </w:rPr>
          </w:pPr>
          <w:r>
            <w:rPr>
              <w:rFonts w:ascii="Shruti" w:hAnsi="Shruti"/>
              <w:sz w:val="22"/>
            </w:rPr>
            <w:t>Substitute Document Number: 85R 18895</w:t>
          </w:r>
        </w:p>
      </w:tc>
      <w:tc>
        <w:tcPr>
          <w:tcW w:w="2453" w:type="pct"/>
        </w:tcPr>
        <w:p w:rsidR="00EC379B" w:rsidRDefault="00D153D9" w:rsidP="006D504F">
          <w:pPr>
            <w:pStyle w:val="Footer"/>
            <w:rPr>
              <w:rStyle w:val="PageNumber"/>
            </w:rPr>
          </w:pPr>
        </w:p>
        <w:p w:rsidR="00EC379B" w:rsidRDefault="00D153D9" w:rsidP="009C1E9A">
          <w:pPr>
            <w:pStyle w:val="Footer"/>
            <w:tabs>
              <w:tab w:val="clear" w:pos="8640"/>
              <w:tab w:val="right" w:pos="9360"/>
            </w:tabs>
            <w:jc w:val="right"/>
          </w:pPr>
        </w:p>
      </w:tc>
    </w:tr>
    <w:tr w:rsidR="007E505B" w:rsidTr="009C1E9A">
      <w:trPr>
        <w:cantSplit/>
        <w:trHeight w:val="323"/>
      </w:trPr>
      <w:tc>
        <w:tcPr>
          <w:tcW w:w="0" w:type="pct"/>
          <w:gridSpan w:val="3"/>
        </w:tcPr>
        <w:p w:rsidR="00EC379B" w:rsidRDefault="003D41A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153D9">
            <w:rPr>
              <w:rStyle w:val="PageNumber"/>
              <w:noProof/>
            </w:rPr>
            <w:t>1</w:t>
          </w:r>
          <w:r>
            <w:rPr>
              <w:rStyle w:val="PageNumber"/>
            </w:rPr>
            <w:fldChar w:fldCharType="end"/>
          </w:r>
        </w:p>
        <w:p w:rsidR="00EC379B" w:rsidRDefault="00D153D9" w:rsidP="009C1E9A">
          <w:pPr>
            <w:pStyle w:val="Footer"/>
            <w:tabs>
              <w:tab w:val="clear" w:pos="8640"/>
              <w:tab w:val="right" w:pos="9360"/>
            </w:tabs>
            <w:jc w:val="center"/>
          </w:pPr>
        </w:p>
      </w:tc>
    </w:tr>
  </w:tbl>
  <w:p w:rsidR="00EC379B" w:rsidRPr="00FF6F72" w:rsidRDefault="00D153D9"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00" w:rsidRDefault="00D15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AEA" w:rsidRDefault="003D41AD">
      <w:r>
        <w:separator/>
      </w:r>
    </w:p>
  </w:footnote>
  <w:footnote w:type="continuationSeparator" w:id="0">
    <w:p w:rsidR="00800AEA" w:rsidRDefault="003D4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00" w:rsidRDefault="00D15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00" w:rsidRDefault="00D153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00" w:rsidRDefault="00D153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5B"/>
    <w:rsid w:val="003D41AD"/>
    <w:rsid w:val="007E505B"/>
    <w:rsid w:val="00800AEA"/>
    <w:rsid w:val="00D1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47AF2"/>
    <w:rPr>
      <w:sz w:val="16"/>
      <w:szCs w:val="16"/>
    </w:rPr>
  </w:style>
  <w:style w:type="paragraph" w:styleId="CommentText">
    <w:name w:val="annotation text"/>
    <w:basedOn w:val="Normal"/>
    <w:link w:val="CommentTextChar"/>
    <w:rsid w:val="00947AF2"/>
    <w:rPr>
      <w:sz w:val="20"/>
      <w:szCs w:val="20"/>
    </w:rPr>
  </w:style>
  <w:style w:type="character" w:customStyle="1" w:styleId="CommentTextChar">
    <w:name w:val="Comment Text Char"/>
    <w:basedOn w:val="DefaultParagraphFont"/>
    <w:link w:val="CommentText"/>
    <w:rsid w:val="00947AF2"/>
  </w:style>
  <w:style w:type="paragraph" w:styleId="CommentSubject">
    <w:name w:val="annotation subject"/>
    <w:basedOn w:val="CommentText"/>
    <w:next w:val="CommentText"/>
    <w:link w:val="CommentSubjectChar"/>
    <w:rsid w:val="00947AF2"/>
    <w:rPr>
      <w:b/>
      <w:bCs/>
    </w:rPr>
  </w:style>
  <w:style w:type="character" w:customStyle="1" w:styleId="CommentSubjectChar">
    <w:name w:val="Comment Subject Char"/>
    <w:basedOn w:val="CommentTextChar"/>
    <w:link w:val="CommentSubject"/>
    <w:rsid w:val="00947A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47AF2"/>
    <w:rPr>
      <w:sz w:val="16"/>
      <w:szCs w:val="16"/>
    </w:rPr>
  </w:style>
  <w:style w:type="paragraph" w:styleId="CommentText">
    <w:name w:val="annotation text"/>
    <w:basedOn w:val="Normal"/>
    <w:link w:val="CommentTextChar"/>
    <w:rsid w:val="00947AF2"/>
    <w:rPr>
      <w:sz w:val="20"/>
      <w:szCs w:val="20"/>
    </w:rPr>
  </w:style>
  <w:style w:type="character" w:customStyle="1" w:styleId="CommentTextChar">
    <w:name w:val="Comment Text Char"/>
    <w:basedOn w:val="DefaultParagraphFont"/>
    <w:link w:val="CommentText"/>
    <w:rsid w:val="00947AF2"/>
  </w:style>
  <w:style w:type="paragraph" w:styleId="CommentSubject">
    <w:name w:val="annotation subject"/>
    <w:basedOn w:val="CommentText"/>
    <w:next w:val="CommentText"/>
    <w:link w:val="CommentSubjectChar"/>
    <w:rsid w:val="00947AF2"/>
    <w:rPr>
      <w:b/>
      <w:bCs/>
    </w:rPr>
  </w:style>
  <w:style w:type="character" w:customStyle="1" w:styleId="CommentSubjectChar">
    <w:name w:val="Comment Subject Char"/>
    <w:basedOn w:val="CommentTextChar"/>
    <w:link w:val="CommentSubject"/>
    <w:rsid w:val="00947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1432</Characters>
  <Application>Microsoft Office Word</Application>
  <DocSecurity>4</DocSecurity>
  <Lines>51</Lines>
  <Paragraphs>17</Paragraphs>
  <ScaleCrop>false</ScaleCrop>
  <HeadingPairs>
    <vt:vector size="2" baseType="variant">
      <vt:variant>
        <vt:lpstr>Title</vt:lpstr>
      </vt:variant>
      <vt:variant>
        <vt:i4>1</vt:i4>
      </vt:variant>
    </vt:vector>
  </HeadingPairs>
  <TitlesOfParts>
    <vt:vector size="1" baseType="lpstr">
      <vt:lpstr>BA - HB02275 (Committee Report (Substituted))</vt:lpstr>
    </vt:vector>
  </TitlesOfParts>
  <Company>State of Texas</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21442</dc:subject>
  <dc:creator>State of Texas</dc:creator>
  <dc:description>HB 2275 by Paddie-(H)Licensing &amp; Administrative Procedures (Substitute Document Number: 85R 18895)</dc:description>
  <cp:lastModifiedBy>Brianna Weis</cp:lastModifiedBy>
  <cp:revision>2</cp:revision>
  <cp:lastPrinted>2017-04-05T15:57:00Z</cp:lastPrinted>
  <dcterms:created xsi:type="dcterms:W3CDTF">2017-04-13T23:43:00Z</dcterms:created>
  <dcterms:modified xsi:type="dcterms:W3CDTF">2017-04-13T23:43:00Z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17.94.637</vt:lpwstr>
  </property>
</Properties>
</file>