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01EA3" w:rsidTr="00345119">
        <w:tc>
          <w:tcPr>
            <w:tcW w:w="9576" w:type="dxa"/>
            <w:noWrap/>
          </w:tcPr>
          <w:p w:rsidR="008423E4" w:rsidRPr="0022177D" w:rsidRDefault="0010007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00074" w:rsidP="008423E4">
      <w:pPr>
        <w:jc w:val="center"/>
      </w:pPr>
    </w:p>
    <w:p w:rsidR="008423E4" w:rsidRPr="00B31F0E" w:rsidRDefault="00100074" w:rsidP="008423E4"/>
    <w:p w:rsidR="008423E4" w:rsidRPr="00742794" w:rsidRDefault="0010007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01EA3" w:rsidTr="00345119">
        <w:tc>
          <w:tcPr>
            <w:tcW w:w="9576" w:type="dxa"/>
          </w:tcPr>
          <w:p w:rsidR="008423E4" w:rsidRPr="00861995" w:rsidRDefault="00100074" w:rsidP="00345119">
            <w:pPr>
              <w:jc w:val="right"/>
            </w:pPr>
            <w:r>
              <w:t>C.S.H.B. 2359</w:t>
            </w:r>
          </w:p>
        </w:tc>
      </w:tr>
      <w:tr w:rsidR="00F01EA3" w:rsidTr="00345119">
        <w:tc>
          <w:tcPr>
            <w:tcW w:w="9576" w:type="dxa"/>
          </w:tcPr>
          <w:p w:rsidR="008423E4" w:rsidRPr="00861995" w:rsidRDefault="00100074" w:rsidP="00251B71">
            <w:pPr>
              <w:jc w:val="right"/>
            </w:pPr>
            <w:r>
              <w:t xml:space="preserve">By: </w:t>
            </w:r>
            <w:r>
              <w:t>Ortega</w:t>
            </w:r>
          </w:p>
        </w:tc>
      </w:tr>
      <w:tr w:rsidR="00F01EA3" w:rsidTr="00345119">
        <w:tc>
          <w:tcPr>
            <w:tcW w:w="9576" w:type="dxa"/>
          </w:tcPr>
          <w:p w:rsidR="008423E4" w:rsidRPr="00861995" w:rsidRDefault="00100074" w:rsidP="00345119">
            <w:pPr>
              <w:jc w:val="right"/>
            </w:pPr>
            <w:r>
              <w:t>County Affairs</w:t>
            </w:r>
          </w:p>
        </w:tc>
      </w:tr>
      <w:tr w:rsidR="00F01EA3" w:rsidTr="00345119">
        <w:tc>
          <w:tcPr>
            <w:tcW w:w="9576" w:type="dxa"/>
          </w:tcPr>
          <w:p w:rsidR="008423E4" w:rsidRDefault="0010007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00074" w:rsidP="008423E4">
      <w:pPr>
        <w:tabs>
          <w:tab w:val="right" w:pos="9360"/>
        </w:tabs>
      </w:pPr>
    </w:p>
    <w:p w:rsidR="008423E4" w:rsidRDefault="00100074" w:rsidP="008423E4"/>
    <w:p w:rsidR="008423E4" w:rsidRDefault="0010007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F01EA3" w:rsidTr="00251B71">
        <w:tc>
          <w:tcPr>
            <w:tcW w:w="9582" w:type="dxa"/>
          </w:tcPr>
          <w:p w:rsidR="008423E4" w:rsidRPr="00A8133F" w:rsidRDefault="00100074" w:rsidP="00B3686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00074" w:rsidP="00B36868"/>
          <w:p w:rsidR="008423E4" w:rsidRDefault="00100074" w:rsidP="00B36868">
            <w:pPr>
              <w:pStyle w:val="Header"/>
              <w:jc w:val="both"/>
            </w:pPr>
            <w:r>
              <w:t>Interested parties contend that some v</w:t>
            </w:r>
            <w:r>
              <w:t xml:space="preserve">acant </w:t>
            </w:r>
            <w:r>
              <w:t xml:space="preserve">lots or </w:t>
            </w:r>
            <w:r>
              <w:t>buildings</w:t>
            </w:r>
            <w:r>
              <w:t xml:space="preserve"> may be</w:t>
            </w:r>
            <w:r>
              <w:t xml:space="preserve"> used for criminal activities </w:t>
            </w:r>
            <w:r>
              <w:t>or</w:t>
            </w:r>
            <w:r>
              <w:t xml:space="preserve"> pose </w:t>
            </w:r>
            <w:r>
              <w:t>fire hazard</w:t>
            </w:r>
            <w:r>
              <w:t>s</w:t>
            </w:r>
            <w:r>
              <w:t xml:space="preserve"> and that</w:t>
            </w:r>
            <w:r>
              <w:t xml:space="preserve"> </w:t>
            </w:r>
            <w:r>
              <w:t xml:space="preserve">there </w:t>
            </w:r>
            <w:r>
              <w:t>is insufficient</w:t>
            </w:r>
            <w:r>
              <w:t xml:space="preserve"> </w:t>
            </w:r>
            <w:r>
              <w:t>authority to effectively confront th</w:t>
            </w:r>
            <w:r>
              <w:t>ese problems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2359 </w:t>
            </w:r>
            <w:r>
              <w:t>seeks to address this issue by amending common nuisance provisions.</w:t>
            </w:r>
          </w:p>
          <w:p w:rsidR="008423E4" w:rsidRPr="00E26B13" w:rsidRDefault="00100074" w:rsidP="00B36868">
            <w:pPr>
              <w:rPr>
                <w:b/>
              </w:rPr>
            </w:pPr>
          </w:p>
        </w:tc>
      </w:tr>
      <w:tr w:rsidR="00F01EA3" w:rsidTr="00251B71">
        <w:tc>
          <w:tcPr>
            <w:tcW w:w="9582" w:type="dxa"/>
          </w:tcPr>
          <w:p w:rsidR="0017725B" w:rsidRDefault="00100074" w:rsidP="00B368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00074" w:rsidP="00B36868">
            <w:pPr>
              <w:rPr>
                <w:b/>
                <w:u w:val="single"/>
              </w:rPr>
            </w:pPr>
          </w:p>
          <w:p w:rsidR="00493577" w:rsidRPr="00493577" w:rsidRDefault="00100074" w:rsidP="00B36868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00074" w:rsidP="00B36868">
            <w:pPr>
              <w:rPr>
                <w:b/>
                <w:u w:val="single"/>
              </w:rPr>
            </w:pPr>
          </w:p>
        </w:tc>
      </w:tr>
      <w:tr w:rsidR="00F01EA3" w:rsidTr="00251B71">
        <w:tc>
          <w:tcPr>
            <w:tcW w:w="9582" w:type="dxa"/>
          </w:tcPr>
          <w:p w:rsidR="008423E4" w:rsidRPr="00A8133F" w:rsidRDefault="00100074" w:rsidP="00B3686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00074" w:rsidP="00B36868"/>
          <w:p w:rsidR="00493577" w:rsidRDefault="00100074" w:rsidP="00B368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100074" w:rsidP="00B36868">
            <w:pPr>
              <w:rPr>
                <w:b/>
              </w:rPr>
            </w:pPr>
          </w:p>
        </w:tc>
      </w:tr>
      <w:tr w:rsidR="00F01EA3" w:rsidTr="00251B71">
        <w:tc>
          <w:tcPr>
            <w:tcW w:w="9582" w:type="dxa"/>
          </w:tcPr>
          <w:p w:rsidR="008423E4" w:rsidRPr="00A8133F" w:rsidRDefault="00100074" w:rsidP="00B3686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00074" w:rsidP="00B36868"/>
          <w:p w:rsidR="007F7702" w:rsidRDefault="00100074" w:rsidP="00B368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2359 amends the </w:t>
            </w:r>
            <w:r>
              <w:t>Civil Practice and Remedies Code</w:t>
            </w:r>
            <w:r>
              <w:t xml:space="preserve"> with regard to the provision establishing maintenance of a comm</w:t>
            </w:r>
            <w:r>
              <w:t>on nuisance as a person's maintenance of a place to which persons habitually go for certain purposes and that person's knowing tolerance of the activity and failure to make reasonable attempts to abate the activity</w:t>
            </w:r>
            <w:r>
              <w:t xml:space="preserve"> to include the following additional purpo</w:t>
            </w:r>
            <w:r>
              <w:t>ses: criminal trespass, disorderly conduct, arson, criminal mischief that causes a pecuniary loss of $500 or more, and a graffiti offense in violation of applicable Penal Code provisions.</w:t>
            </w:r>
            <w:r>
              <w:t xml:space="preserve"> The bill </w:t>
            </w:r>
            <w:r>
              <w:t>expand</w:t>
            </w:r>
            <w:r>
              <w:t>s</w:t>
            </w:r>
            <w:r>
              <w:t xml:space="preserve"> </w:t>
            </w:r>
            <w:r>
              <w:t xml:space="preserve">the </w:t>
            </w:r>
            <w:r>
              <w:t xml:space="preserve">common nuisance </w:t>
            </w:r>
            <w:r>
              <w:t>purpose consisting</w:t>
            </w:r>
            <w:r>
              <w:t xml:space="preserve"> </w:t>
            </w:r>
            <w:r>
              <w:t xml:space="preserve">of </w:t>
            </w:r>
            <w:r w:rsidRPr="00626CD5">
              <w:t>delivery,</w:t>
            </w:r>
            <w:r w:rsidRPr="00626CD5">
              <w:t xml:space="preserve"> possession, manufacture, or use of a</w:t>
            </w:r>
            <w:r>
              <w:t xml:space="preserve"> controlled substance </w:t>
            </w:r>
            <w:r>
              <w:t xml:space="preserve">in violation of the Texas Controlled Substance Act to include </w:t>
            </w:r>
            <w:r w:rsidRPr="00626CD5">
              <w:t>delivery, possession, manufacture, or use of a</w:t>
            </w:r>
            <w:r>
              <w:t xml:space="preserve"> substance or other item in violation of th</w:t>
            </w:r>
            <w:r>
              <w:t>at</w:t>
            </w:r>
            <w:r>
              <w:t xml:space="preserve"> </w:t>
            </w:r>
            <w:r>
              <w:t>a</w:t>
            </w:r>
            <w:r>
              <w:t>ct</w:t>
            </w:r>
            <w:r>
              <w:t>.</w:t>
            </w:r>
            <w:r>
              <w:t xml:space="preserve"> </w:t>
            </w:r>
          </w:p>
          <w:p w:rsidR="007F7702" w:rsidRDefault="00100074" w:rsidP="00B368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100074" w:rsidP="00B368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2359</w:t>
            </w:r>
            <w:r>
              <w:t xml:space="preserve"> includes a</w:t>
            </w:r>
            <w:r>
              <w:t xml:space="preserve"> court's det</w:t>
            </w:r>
            <w:r>
              <w:t>ermination in any judicial proceeding relating to a suit to abate certain common nuisances that a person is maintaining a</w:t>
            </w:r>
            <w:r>
              <w:t xml:space="preserve"> </w:t>
            </w:r>
            <w:r w:rsidRPr="008C22A0">
              <w:t xml:space="preserve">vacant lot </w:t>
            </w:r>
            <w:r>
              <w:t xml:space="preserve">or </w:t>
            </w:r>
            <w:r>
              <w:t xml:space="preserve">a vacant or abandoned building </w:t>
            </w:r>
            <w:r>
              <w:t xml:space="preserve">that is a common nuisance </w:t>
            </w:r>
            <w:r>
              <w:t xml:space="preserve">among </w:t>
            </w:r>
            <w:r>
              <w:t xml:space="preserve">the circumstances in which </w:t>
            </w:r>
            <w:r>
              <w:t xml:space="preserve">the court </w:t>
            </w:r>
            <w:r>
              <w:t>may</w:t>
            </w:r>
            <w:r>
              <w:t>,</w:t>
            </w:r>
            <w:r>
              <w:t xml:space="preserve"> </w:t>
            </w:r>
            <w:r>
              <w:t>o</w:t>
            </w:r>
            <w:r w:rsidRPr="008C22A0">
              <w:t>n its own moti</w:t>
            </w:r>
            <w:r w:rsidRPr="008C22A0">
              <w:t xml:space="preserve">on or on the motion of any party, order the appointment of a receiver to manage </w:t>
            </w:r>
            <w:r>
              <w:t xml:space="preserve">the property </w:t>
            </w:r>
            <w:r w:rsidRPr="008C22A0">
              <w:t>or render any other order allowed by law as necessary to abate the nuisance.</w:t>
            </w:r>
            <w:r>
              <w:t xml:space="preserve"> </w:t>
            </w:r>
          </w:p>
          <w:p w:rsidR="008423E4" w:rsidRPr="00835628" w:rsidRDefault="00100074" w:rsidP="00B36868">
            <w:pPr>
              <w:rPr>
                <w:b/>
              </w:rPr>
            </w:pPr>
          </w:p>
        </w:tc>
      </w:tr>
      <w:tr w:rsidR="00F01EA3" w:rsidTr="00251B71">
        <w:tc>
          <w:tcPr>
            <w:tcW w:w="9582" w:type="dxa"/>
          </w:tcPr>
          <w:p w:rsidR="008423E4" w:rsidRPr="00A8133F" w:rsidRDefault="00100074" w:rsidP="00B3686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00074" w:rsidP="00B36868"/>
          <w:p w:rsidR="008423E4" w:rsidRPr="003624F2" w:rsidRDefault="00100074" w:rsidP="00B368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00074" w:rsidP="00B36868">
            <w:pPr>
              <w:rPr>
                <w:b/>
              </w:rPr>
            </w:pPr>
          </w:p>
        </w:tc>
      </w:tr>
      <w:tr w:rsidR="00F01EA3" w:rsidTr="00251B71">
        <w:tc>
          <w:tcPr>
            <w:tcW w:w="9582" w:type="dxa"/>
          </w:tcPr>
          <w:p w:rsidR="00251B71" w:rsidRDefault="00100074" w:rsidP="00B3686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0706D" w:rsidRDefault="00100074" w:rsidP="00B36868">
            <w:pPr>
              <w:jc w:val="both"/>
            </w:pPr>
          </w:p>
          <w:p w:rsidR="0050706D" w:rsidRDefault="00100074" w:rsidP="00B36868">
            <w:pPr>
              <w:jc w:val="both"/>
            </w:pPr>
            <w:r>
              <w:t xml:space="preserve">While </w:t>
            </w:r>
            <w:r>
              <w:t>C.S.H.B. 2359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50706D" w:rsidRPr="0050706D" w:rsidRDefault="00100074" w:rsidP="00B36868">
            <w:pPr>
              <w:jc w:val="both"/>
            </w:pPr>
          </w:p>
        </w:tc>
      </w:tr>
      <w:tr w:rsidR="00F01EA3" w:rsidTr="00251B71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829"/>
              <w:gridCol w:w="4517"/>
            </w:tblGrid>
            <w:tr w:rsidR="00F01EA3" w:rsidTr="00251B71">
              <w:trPr>
                <w:cantSplit/>
                <w:tblHeader/>
              </w:trPr>
              <w:tc>
                <w:tcPr>
                  <w:tcW w:w="4829" w:type="dxa"/>
                  <w:tcMar>
                    <w:bottom w:w="188" w:type="dxa"/>
                  </w:tcMar>
                </w:tcPr>
                <w:p w:rsidR="00251B71" w:rsidRDefault="00100074" w:rsidP="00B36868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517" w:type="dxa"/>
                  <w:tcMar>
                    <w:bottom w:w="188" w:type="dxa"/>
                  </w:tcMar>
                </w:tcPr>
                <w:p w:rsidR="00251B71" w:rsidRDefault="00100074" w:rsidP="00B36868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F01EA3" w:rsidTr="00251B71">
              <w:tc>
                <w:tcPr>
                  <w:tcW w:w="4829" w:type="dxa"/>
                  <w:tcMar>
                    <w:right w:w="360" w:type="dxa"/>
                  </w:tcMar>
                </w:tcPr>
                <w:p w:rsidR="00251B71" w:rsidRDefault="00100074" w:rsidP="00B36868">
                  <w:pPr>
                    <w:jc w:val="both"/>
                  </w:pPr>
                  <w:r>
                    <w:t>SECTION 1.  Section 125.0015(a), Civil Practice and Remedies Code, is amended</w:t>
                  </w:r>
                </w:p>
              </w:tc>
              <w:tc>
                <w:tcPr>
                  <w:tcW w:w="4517" w:type="dxa"/>
                  <w:tcMar>
                    <w:left w:w="360" w:type="dxa"/>
                  </w:tcMar>
                </w:tcPr>
                <w:p w:rsidR="00251B71" w:rsidRDefault="00100074" w:rsidP="00B36868">
                  <w:pPr>
                    <w:jc w:val="both"/>
                  </w:pPr>
                  <w:r>
                    <w:t>SECTION 1. Same as introduced version.</w:t>
                  </w:r>
                </w:p>
                <w:p w:rsidR="00251B71" w:rsidRDefault="00100074" w:rsidP="00B36868">
                  <w:pPr>
                    <w:jc w:val="both"/>
                  </w:pPr>
                </w:p>
                <w:p w:rsidR="00251B71" w:rsidRDefault="00100074" w:rsidP="00B36868">
                  <w:pPr>
                    <w:jc w:val="both"/>
                  </w:pPr>
                </w:p>
              </w:tc>
            </w:tr>
            <w:tr w:rsidR="00F01EA3" w:rsidTr="00251B71">
              <w:tc>
                <w:tcPr>
                  <w:tcW w:w="4829" w:type="dxa"/>
                  <w:tcMar>
                    <w:right w:w="360" w:type="dxa"/>
                  </w:tcMar>
                </w:tcPr>
                <w:p w:rsidR="00251B71" w:rsidRDefault="00100074" w:rsidP="00B36868">
                  <w:pPr>
                    <w:jc w:val="both"/>
                  </w:pPr>
                  <w:r>
                    <w:t xml:space="preserve">SECTION 2.  Section 125.002, Civil Practice and Remedies Code, is amended by adding Subsection </w:t>
                  </w:r>
                  <w:r>
                    <w:t>(a-1) to read as follows:</w:t>
                  </w:r>
                </w:p>
                <w:p w:rsidR="00251B71" w:rsidRDefault="00100074" w:rsidP="00B36868">
                  <w:pPr>
                    <w:jc w:val="both"/>
                  </w:pPr>
                  <w:r>
                    <w:rPr>
                      <w:u w:val="single"/>
                    </w:rPr>
                    <w:t>(a-1)  Notwithstanding Subsection (a), a suit to enjoin or abate a common nuisance that is brought by a county attorney of a county with a population of 800,000 or more and located on the international border may be brought in the</w:t>
                  </w:r>
                  <w:r>
                    <w:rPr>
                      <w:u w:val="single"/>
                    </w:rPr>
                    <w:t xml:space="preserve"> name of the county.</w:t>
                  </w:r>
                </w:p>
                <w:p w:rsidR="00251B71" w:rsidRDefault="00100074" w:rsidP="00B36868">
                  <w:pPr>
                    <w:jc w:val="both"/>
                  </w:pPr>
                </w:p>
              </w:tc>
              <w:tc>
                <w:tcPr>
                  <w:tcW w:w="4517" w:type="dxa"/>
                  <w:tcMar>
                    <w:left w:w="360" w:type="dxa"/>
                  </w:tcMar>
                </w:tcPr>
                <w:p w:rsidR="00251B71" w:rsidRDefault="00100074" w:rsidP="00B36868">
                  <w:pPr>
                    <w:jc w:val="both"/>
                  </w:pPr>
                  <w:r w:rsidRPr="0050706D">
                    <w:rPr>
                      <w:highlight w:val="lightGray"/>
                    </w:rPr>
                    <w:t>No equivalent provision.</w:t>
                  </w:r>
                </w:p>
                <w:p w:rsidR="00251B71" w:rsidRDefault="00100074" w:rsidP="00B36868">
                  <w:pPr>
                    <w:jc w:val="both"/>
                  </w:pPr>
                </w:p>
              </w:tc>
            </w:tr>
            <w:tr w:rsidR="00F01EA3" w:rsidTr="00251B71">
              <w:tc>
                <w:tcPr>
                  <w:tcW w:w="4829" w:type="dxa"/>
                  <w:tcMar>
                    <w:right w:w="360" w:type="dxa"/>
                  </w:tcMar>
                </w:tcPr>
                <w:p w:rsidR="00251B71" w:rsidRDefault="00100074" w:rsidP="00B36868">
                  <w:pPr>
                    <w:jc w:val="both"/>
                  </w:pPr>
                  <w:r>
                    <w:t xml:space="preserve">SECTION 3.  Section 125.046(a), Civil Practice and Remedies Code, is amended </w:t>
                  </w:r>
                </w:p>
              </w:tc>
              <w:tc>
                <w:tcPr>
                  <w:tcW w:w="4517" w:type="dxa"/>
                  <w:tcMar>
                    <w:left w:w="360" w:type="dxa"/>
                  </w:tcMar>
                </w:tcPr>
                <w:p w:rsidR="00251B71" w:rsidRDefault="00100074" w:rsidP="00B36868">
                  <w:pPr>
                    <w:jc w:val="both"/>
                  </w:pPr>
                  <w:r>
                    <w:t>SECTION 2. Same as introduced version.</w:t>
                  </w:r>
                </w:p>
                <w:p w:rsidR="00251B71" w:rsidRDefault="00100074" w:rsidP="00B36868">
                  <w:pPr>
                    <w:jc w:val="both"/>
                  </w:pPr>
                </w:p>
                <w:p w:rsidR="00251B71" w:rsidRDefault="00100074" w:rsidP="00B36868">
                  <w:pPr>
                    <w:jc w:val="both"/>
                  </w:pPr>
                </w:p>
              </w:tc>
            </w:tr>
            <w:tr w:rsidR="00F01EA3" w:rsidTr="00251B71">
              <w:tc>
                <w:tcPr>
                  <w:tcW w:w="4829" w:type="dxa"/>
                  <w:tcMar>
                    <w:right w:w="360" w:type="dxa"/>
                  </w:tcMar>
                </w:tcPr>
                <w:p w:rsidR="00251B71" w:rsidRDefault="00100074" w:rsidP="00B36868">
                  <w:pPr>
                    <w:jc w:val="both"/>
                  </w:pPr>
                  <w:r>
                    <w:t>SECTION 4.  Section 125.047(a)(2), Civil Practice and Remedies Code, is amended to read</w:t>
                  </w:r>
                  <w:r>
                    <w:t xml:space="preserve"> as follows:</w:t>
                  </w:r>
                </w:p>
                <w:p w:rsidR="00251B71" w:rsidRDefault="00100074" w:rsidP="00B36868">
                  <w:pPr>
                    <w:jc w:val="both"/>
                  </w:pPr>
                  <w:r>
                    <w:t xml:space="preserve">(2)  "Nuisance abatement" means an activity taken by a municipality </w:t>
                  </w:r>
                  <w:r>
                    <w:rPr>
                      <w:u w:val="single"/>
                    </w:rPr>
                    <w:t>or county</w:t>
                  </w:r>
                  <w:r>
                    <w:t xml:space="preserve"> to reduce the occurrences of a common or public nuisance.</w:t>
                  </w:r>
                </w:p>
                <w:p w:rsidR="00251B71" w:rsidRDefault="00100074" w:rsidP="00B36868">
                  <w:pPr>
                    <w:jc w:val="both"/>
                  </w:pPr>
                </w:p>
              </w:tc>
              <w:tc>
                <w:tcPr>
                  <w:tcW w:w="4517" w:type="dxa"/>
                  <w:tcMar>
                    <w:left w:w="360" w:type="dxa"/>
                  </w:tcMar>
                </w:tcPr>
                <w:p w:rsidR="00251B71" w:rsidRDefault="00100074" w:rsidP="00B36868">
                  <w:pPr>
                    <w:jc w:val="both"/>
                  </w:pPr>
                  <w:r w:rsidRPr="000A30CC">
                    <w:rPr>
                      <w:highlight w:val="lightGray"/>
                    </w:rPr>
                    <w:t>No equivalent provision.</w:t>
                  </w:r>
                </w:p>
                <w:p w:rsidR="00251B71" w:rsidRDefault="00100074" w:rsidP="00B36868">
                  <w:pPr>
                    <w:jc w:val="both"/>
                  </w:pPr>
                </w:p>
              </w:tc>
            </w:tr>
            <w:tr w:rsidR="00F01EA3" w:rsidTr="00251B71">
              <w:tc>
                <w:tcPr>
                  <w:tcW w:w="4829" w:type="dxa"/>
                  <w:tcMar>
                    <w:right w:w="360" w:type="dxa"/>
                  </w:tcMar>
                </w:tcPr>
                <w:p w:rsidR="00251B71" w:rsidRDefault="00100074" w:rsidP="00B36868">
                  <w:pPr>
                    <w:jc w:val="both"/>
                  </w:pPr>
                  <w:r>
                    <w:t>SECTION 5.  Sections 125.047(b), (c), and (d), Civil Practice and Remedies Code</w:t>
                  </w:r>
                  <w:r>
                    <w:t>, are amended to read as follows:</w:t>
                  </w:r>
                </w:p>
                <w:p w:rsidR="00251B71" w:rsidRDefault="00100074" w:rsidP="00B36868">
                  <w:pPr>
                    <w:jc w:val="both"/>
                  </w:pPr>
                  <w:r>
                    <w:t>(b)  This section applies only to</w:t>
                  </w:r>
                  <w:r>
                    <w:rPr>
                      <w:u w:val="single"/>
                    </w:rPr>
                    <w:t>:</w:t>
                  </w:r>
                </w:p>
                <w:p w:rsidR="00251B71" w:rsidRDefault="00100074" w:rsidP="00B36868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t xml:space="preserve">  a municipality with a population of 1.5 million or more</w:t>
                  </w:r>
                  <w:r>
                    <w:rPr>
                      <w:u w:val="single"/>
                    </w:rPr>
                    <w:t>; or</w:t>
                  </w:r>
                </w:p>
                <w:p w:rsidR="00251B71" w:rsidRDefault="00100074" w:rsidP="00B36868">
                  <w:pPr>
                    <w:jc w:val="both"/>
                  </w:pPr>
                  <w:r>
                    <w:rPr>
                      <w:u w:val="single"/>
                    </w:rPr>
                    <w:t>(2)  a county with a population of 800,000 or more and located on the international border</w:t>
                  </w:r>
                  <w:r>
                    <w:t>.</w:t>
                  </w:r>
                </w:p>
                <w:p w:rsidR="00251B71" w:rsidRDefault="00100074" w:rsidP="00B36868">
                  <w:pPr>
                    <w:jc w:val="both"/>
                  </w:pPr>
                  <w:r>
                    <w:t xml:space="preserve">(c)  A municipality </w:t>
                  </w:r>
                  <w:r>
                    <w:rPr>
                      <w:u w:val="single"/>
                    </w:rPr>
                    <w:t>or county</w:t>
                  </w:r>
                  <w:r>
                    <w:t xml:space="preserve"> shall create a fund as a separate account in the treasury of the municipality </w:t>
                  </w:r>
                  <w:r>
                    <w:rPr>
                      <w:u w:val="single"/>
                    </w:rPr>
                    <w:t>or county</w:t>
                  </w:r>
                  <w:r>
                    <w:t>.</w:t>
                  </w:r>
                </w:p>
                <w:p w:rsidR="00251B71" w:rsidRDefault="00100074" w:rsidP="00B36868">
                  <w:pPr>
                    <w:jc w:val="both"/>
                  </w:pPr>
                  <w:r>
                    <w:t>(d)  The fund consists of:</w:t>
                  </w:r>
                </w:p>
                <w:p w:rsidR="00251B71" w:rsidRDefault="00100074" w:rsidP="00B36868">
                  <w:pPr>
                    <w:jc w:val="both"/>
                  </w:pPr>
                  <w:r>
                    <w:t xml:space="preserve">(1)  money awarded the municipality </w:t>
                  </w:r>
                  <w:r>
                    <w:rPr>
                      <w:u w:val="single"/>
                    </w:rPr>
                    <w:t>or county</w:t>
                  </w:r>
                  <w:r>
                    <w:t xml:space="preserve"> in an action under this chapter;</w:t>
                  </w:r>
                </w:p>
                <w:p w:rsidR="00251B71" w:rsidRDefault="00100074" w:rsidP="00B36868">
                  <w:pPr>
                    <w:jc w:val="both"/>
                  </w:pPr>
                  <w:r>
                    <w:t xml:space="preserve">(2)  money awarded the municipality </w:t>
                  </w:r>
                  <w:r>
                    <w:rPr>
                      <w:u w:val="single"/>
                    </w:rPr>
                    <w:t>or county</w:t>
                  </w:r>
                  <w:r>
                    <w:t xml:space="preserve"> under a settlement to an action under this chapter;</w:t>
                  </w:r>
                </w:p>
                <w:p w:rsidR="00251B71" w:rsidRDefault="00100074" w:rsidP="00B36868">
                  <w:pPr>
                    <w:jc w:val="both"/>
                  </w:pPr>
                  <w:r>
                    <w:t xml:space="preserve">(3)  fines resulting from code enforcement citations issued by the municipality </w:t>
                  </w:r>
                  <w:r>
                    <w:rPr>
                      <w:u w:val="single"/>
                    </w:rPr>
                    <w:t>or county</w:t>
                  </w:r>
                  <w:r>
                    <w:t xml:space="preserve"> for conduct defined as a common or public nuisance under this chapter;</w:t>
                  </w:r>
                </w:p>
                <w:p w:rsidR="00251B71" w:rsidRDefault="00100074" w:rsidP="00B36868">
                  <w:pPr>
                    <w:jc w:val="both"/>
                  </w:pPr>
                  <w:r>
                    <w:t xml:space="preserve">(4)  bonds forfeited to the municipality </w:t>
                  </w:r>
                  <w:r>
                    <w:rPr>
                      <w:u w:val="single"/>
                    </w:rPr>
                    <w:t>o</w:t>
                  </w:r>
                  <w:r>
                    <w:rPr>
                      <w:u w:val="single"/>
                    </w:rPr>
                    <w:t>r county</w:t>
                  </w:r>
                  <w:r>
                    <w:t xml:space="preserve"> under this chapter; and</w:t>
                  </w:r>
                </w:p>
                <w:p w:rsidR="00251B71" w:rsidRDefault="00100074" w:rsidP="00B36868">
                  <w:pPr>
                    <w:jc w:val="both"/>
                  </w:pPr>
                  <w:r>
                    <w:t xml:space="preserve">(5)  donations or grants made to the municipality </w:t>
                  </w:r>
                  <w:r>
                    <w:rPr>
                      <w:u w:val="single"/>
                    </w:rPr>
                    <w:t>or county</w:t>
                  </w:r>
                  <w:r>
                    <w:t xml:space="preserve"> for the purpose of </w:t>
                  </w:r>
                  <w:r>
                    <w:lastRenderedPageBreak/>
                    <w:t>nuisance abatement.</w:t>
                  </w:r>
                </w:p>
                <w:p w:rsidR="00251B71" w:rsidRDefault="00100074" w:rsidP="00B36868">
                  <w:pPr>
                    <w:jc w:val="both"/>
                  </w:pPr>
                </w:p>
              </w:tc>
              <w:tc>
                <w:tcPr>
                  <w:tcW w:w="4517" w:type="dxa"/>
                  <w:tcMar>
                    <w:left w:w="360" w:type="dxa"/>
                  </w:tcMar>
                </w:tcPr>
                <w:p w:rsidR="00251B71" w:rsidRDefault="00100074" w:rsidP="00B36868">
                  <w:pPr>
                    <w:jc w:val="both"/>
                  </w:pPr>
                  <w:r w:rsidRPr="000A30CC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251B71" w:rsidRDefault="00100074" w:rsidP="00B36868">
                  <w:pPr>
                    <w:jc w:val="both"/>
                  </w:pPr>
                </w:p>
              </w:tc>
            </w:tr>
            <w:tr w:rsidR="00F01EA3" w:rsidTr="00251B71">
              <w:tc>
                <w:tcPr>
                  <w:tcW w:w="4829" w:type="dxa"/>
                  <w:tcMar>
                    <w:right w:w="360" w:type="dxa"/>
                  </w:tcMar>
                </w:tcPr>
                <w:p w:rsidR="00251B71" w:rsidRDefault="00100074" w:rsidP="00B36868">
                  <w:pPr>
                    <w:jc w:val="both"/>
                  </w:pPr>
                  <w:r>
                    <w:lastRenderedPageBreak/>
                    <w:t>SECTION 6.  This Act takes effect September 1, 2017.</w:t>
                  </w:r>
                </w:p>
                <w:p w:rsidR="00251B71" w:rsidRDefault="00100074" w:rsidP="00B36868">
                  <w:pPr>
                    <w:jc w:val="both"/>
                  </w:pPr>
                </w:p>
              </w:tc>
              <w:tc>
                <w:tcPr>
                  <w:tcW w:w="4517" w:type="dxa"/>
                  <w:tcMar>
                    <w:left w:w="360" w:type="dxa"/>
                  </w:tcMar>
                </w:tcPr>
                <w:p w:rsidR="00251B71" w:rsidRDefault="00100074" w:rsidP="00B36868">
                  <w:pPr>
                    <w:jc w:val="both"/>
                  </w:pPr>
                  <w:r>
                    <w:t>SECTION 3. Same as introduced version.</w:t>
                  </w:r>
                </w:p>
                <w:p w:rsidR="00251B71" w:rsidRDefault="00100074" w:rsidP="00B36868">
                  <w:pPr>
                    <w:jc w:val="both"/>
                  </w:pPr>
                </w:p>
                <w:p w:rsidR="00251B71" w:rsidRDefault="00100074" w:rsidP="00B36868">
                  <w:pPr>
                    <w:jc w:val="both"/>
                  </w:pPr>
                </w:p>
              </w:tc>
            </w:tr>
          </w:tbl>
          <w:p w:rsidR="00251B71" w:rsidRDefault="00100074" w:rsidP="00B36868"/>
          <w:p w:rsidR="00251B71" w:rsidRPr="009C1E9A" w:rsidRDefault="00100074" w:rsidP="00B36868">
            <w:pPr>
              <w:rPr>
                <w:b/>
                <w:u w:val="single"/>
              </w:rPr>
            </w:pPr>
          </w:p>
        </w:tc>
      </w:tr>
    </w:tbl>
    <w:p w:rsidR="004108C3" w:rsidRPr="008423E4" w:rsidRDefault="0010007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0074">
      <w:r>
        <w:separator/>
      </w:r>
    </w:p>
  </w:endnote>
  <w:endnote w:type="continuationSeparator" w:id="0">
    <w:p w:rsidR="00000000" w:rsidRDefault="0010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01EA3" w:rsidTr="009C1E9A">
      <w:trPr>
        <w:cantSplit/>
      </w:trPr>
      <w:tc>
        <w:tcPr>
          <w:tcW w:w="0" w:type="pct"/>
        </w:tcPr>
        <w:p w:rsidR="00137D90" w:rsidRDefault="001000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0007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0007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000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000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1EA3" w:rsidTr="009C1E9A">
      <w:trPr>
        <w:cantSplit/>
      </w:trPr>
      <w:tc>
        <w:tcPr>
          <w:tcW w:w="0" w:type="pct"/>
        </w:tcPr>
        <w:p w:rsidR="00EC379B" w:rsidRDefault="001000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0007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23499</w:t>
          </w:r>
        </w:p>
      </w:tc>
      <w:tc>
        <w:tcPr>
          <w:tcW w:w="2453" w:type="pct"/>
        </w:tcPr>
        <w:p w:rsidR="00EC379B" w:rsidRDefault="001000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17.104.584</w:t>
          </w:r>
          <w:r>
            <w:fldChar w:fldCharType="end"/>
          </w:r>
        </w:p>
      </w:tc>
    </w:tr>
    <w:tr w:rsidR="00F01EA3" w:rsidTr="009C1E9A">
      <w:trPr>
        <w:cantSplit/>
      </w:trPr>
      <w:tc>
        <w:tcPr>
          <w:tcW w:w="0" w:type="pct"/>
        </w:tcPr>
        <w:p w:rsidR="00EC379B" w:rsidRDefault="001000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000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18648</w:t>
          </w:r>
        </w:p>
      </w:tc>
      <w:tc>
        <w:tcPr>
          <w:tcW w:w="2453" w:type="pct"/>
        </w:tcPr>
        <w:p w:rsidR="00EC379B" w:rsidRDefault="00100074" w:rsidP="006D504F">
          <w:pPr>
            <w:pStyle w:val="Footer"/>
            <w:rPr>
              <w:rStyle w:val="PageNumber"/>
            </w:rPr>
          </w:pPr>
        </w:p>
        <w:p w:rsidR="00EC379B" w:rsidRDefault="001000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1EA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0007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0007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0007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0074">
      <w:r>
        <w:separator/>
      </w:r>
    </w:p>
  </w:footnote>
  <w:footnote w:type="continuationSeparator" w:id="0">
    <w:p w:rsidR="00000000" w:rsidRDefault="00100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A3"/>
    <w:rsid w:val="00100074"/>
    <w:rsid w:val="00F0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26C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CD5"/>
  </w:style>
  <w:style w:type="paragraph" w:styleId="CommentSubject">
    <w:name w:val="annotation subject"/>
    <w:basedOn w:val="CommentText"/>
    <w:next w:val="CommentText"/>
    <w:link w:val="CommentSubjectChar"/>
    <w:rsid w:val="00626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CD5"/>
    <w:rPr>
      <w:b/>
      <w:bCs/>
    </w:rPr>
  </w:style>
  <w:style w:type="paragraph" w:styleId="Revision">
    <w:name w:val="Revision"/>
    <w:hidden/>
    <w:uiPriority w:val="99"/>
    <w:semiHidden/>
    <w:rsid w:val="00917A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26C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CD5"/>
  </w:style>
  <w:style w:type="paragraph" w:styleId="CommentSubject">
    <w:name w:val="annotation subject"/>
    <w:basedOn w:val="CommentText"/>
    <w:next w:val="CommentText"/>
    <w:link w:val="CommentSubjectChar"/>
    <w:rsid w:val="00626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CD5"/>
    <w:rPr>
      <w:b/>
      <w:bCs/>
    </w:rPr>
  </w:style>
  <w:style w:type="paragraph" w:styleId="Revision">
    <w:name w:val="Revision"/>
    <w:hidden/>
    <w:uiPriority w:val="99"/>
    <w:semiHidden/>
    <w:rsid w:val="00917A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3804</Characters>
  <Application>Microsoft Office Word</Application>
  <DocSecurity>4</DocSecurity>
  <Lines>127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HB02359 (Committee Report (Substituted))</vt:lpstr>
    </vt:vector>
  </TitlesOfParts>
  <Company>State of Texas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23499</dc:subject>
  <dc:creator>State of Texas</dc:creator>
  <dc:description>HB 2359 by Ortega-(H)County Affairs (Substitute Document Number: 85R 18648)</dc:description>
  <cp:lastModifiedBy>Molly Hoffman-Bricker</cp:lastModifiedBy>
  <cp:revision>2</cp:revision>
  <cp:lastPrinted>2003-11-26T17:21:00Z</cp:lastPrinted>
  <dcterms:created xsi:type="dcterms:W3CDTF">2017-04-20T15:29:00Z</dcterms:created>
  <dcterms:modified xsi:type="dcterms:W3CDTF">2017-04-20T15:29:00Z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17.104.584</vt:lpwstr>
  </property>
</Properties>
</file>