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75160" w:rsidTr="00345119">
        <w:tc>
          <w:tcPr>
            <w:tcW w:w="9576" w:type="dxa"/>
            <w:noWrap/>
          </w:tcPr>
          <w:p w:rsidR="008423E4" w:rsidRPr="0022177D" w:rsidRDefault="00F565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56582" w:rsidP="008423E4">
      <w:pPr>
        <w:jc w:val="center"/>
      </w:pPr>
    </w:p>
    <w:p w:rsidR="008423E4" w:rsidRPr="00B31F0E" w:rsidRDefault="00F56582" w:rsidP="008423E4"/>
    <w:p w:rsidR="008423E4" w:rsidRPr="00742794" w:rsidRDefault="00F565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75160" w:rsidTr="00345119">
        <w:tc>
          <w:tcPr>
            <w:tcW w:w="9576" w:type="dxa"/>
          </w:tcPr>
          <w:p w:rsidR="008423E4" w:rsidRPr="00861995" w:rsidRDefault="00F56582" w:rsidP="00345119">
            <w:pPr>
              <w:jc w:val="right"/>
            </w:pPr>
            <w:r>
              <w:t>C.S.H.B. 2397</w:t>
            </w:r>
          </w:p>
        </w:tc>
      </w:tr>
      <w:tr w:rsidR="00075160" w:rsidTr="00345119">
        <w:tc>
          <w:tcPr>
            <w:tcW w:w="9576" w:type="dxa"/>
          </w:tcPr>
          <w:p w:rsidR="008423E4" w:rsidRPr="00861995" w:rsidRDefault="00F56582" w:rsidP="00EE405C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075160" w:rsidTr="00345119">
        <w:tc>
          <w:tcPr>
            <w:tcW w:w="9576" w:type="dxa"/>
          </w:tcPr>
          <w:p w:rsidR="008423E4" w:rsidRPr="00861995" w:rsidRDefault="00F56582" w:rsidP="00345119">
            <w:pPr>
              <w:jc w:val="right"/>
            </w:pPr>
            <w:r>
              <w:t>Insurance</w:t>
            </w:r>
          </w:p>
        </w:tc>
      </w:tr>
      <w:tr w:rsidR="00075160" w:rsidTr="00345119">
        <w:tc>
          <w:tcPr>
            <w:tcW w:w="9576" w:type="dxa"/>
          </w:tcPr>
          <w:p w:rsidR="008423E4" w:rsidRDefault="00F5658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56582" w:rsidP="008423E4">
      <w:pPr>
        <w:tabs>
          <w:tab w:val="right" w:pos="9360"/>
        </w:tabs>
      </w:pPr>
    </w:p>
    <w:p w:rsidR="008423E4" w:rsidRDefault="00F56582" w:rsidP="008423E4"/>
    <w:p w:rsidR="008423E4" w:rsidRDefault="00F565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075160" w:rsidTr="00EE405C">
        <w:tc>
          <w:tcPr>
            <w:tcW w:w="9582" w:type="dxa"/>
          </w:tcPr>
          <w:p w:rsidR="008423E4" w:rsidRPr="00A8133F" w:rsidRDefault="00F56582" w:rsidP="005D1AD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56582" w:rsidP="005D1ADA"/>
          <w:p w:rsidR="008423E4" w:rsidRDefault="00F56582" w:rsidP="005D1ADA">
            <w:pPr>
              <w:pStyle w:val="Header"/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the law under which </w:t>
            </w:r>
            <w:r>
              <w:t>an insurer provide</w:t>
            </w:r>
            <w:r>
              <w:t>s</w:t>
            </w:r>
            <w:r>
              <w:t xml:space="preserve"> notice to a preferred provider </w:t>
            </w:r>
            <w:r>
              <w:t xml:space="preserve">and </w:t>
            </w:r>
            <w:r>
              <w:t xml:space="preserve">conducts </w:t>
            </w:r>
            <w:r>
              <w:t xml:space="preserve">a reasonable review mechanism </w:t>
            </w:r>
            <w:r>
              <w:t xml:space="preserve">when the insurer seeks to </w:t>
            </w:r>
            <w:r>
              <w:t xml:space="preserve">terminate a </w:t>
            </w:r>
            <w:r>
              <w:t xml:space="preserve">provider's </w:t>
            </w:r>
            <w:r>
              <w:t xml:space="preserve">contract </w:t>
            </w:r>
            <w:r>
              <w:t xml:space="preserve">should better protect a provider </w:t>
            </w:r>
            <w:r>
              <w:t>against false</w:t>
            </w:r>
            <w:r>
              <w:t xml:space="preserve"> allegations of fraud or malfeasance.</w:t>
            </w:r>
            <w:r>
              <w:t xml:space="preserve"> </w:t>
            </w:r>
            <w:r>
              <w:t>C.S.</w:t>
            </w:r>
            <w:r>
              <w:t>H.B. 2397 seeks to pr</w:t>
            </w:r>
            <w:r>
              <w:t>ovide this protection</w:t>
            </w:r>
            <w:r>
              <w:t xml:space="preserve">. </w:t>
            </w:r>
          </w:p>
          <w:p w:rsidR="008423E4" w:rsidRPr="00E26B13" w:rsidRDefault="00F56582" w:rsidP="005D1ADA">
            <w:pPr>
              <w:rPr>
                <w:b/>
              </w:rPr>
            </w:pPr>
          </w:p>
        </w:tc>
      </w:tr>
      <w:tr w:rsidR="00075160" w:rsidTr="00EE405C">
        <w:tc>
          <w:tcPr>
            <w:tcW w:w="9582" w:type="dxa"/>
          </w:tcPr>
          <w:p w:rsidR="0017725B" w:rsidRDefault="00F56582" w:rsidP="005D1A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56582" w:rsidP="005D1ADA">
            <w:pPr>
              <w:rPr>
                <w:b/>
                <w:u w:val="single"/>
              </w:rPr>
            </w:pPr>
          </w:p>
          <w:p w:rsidR="00BA128B" w:rsidRPr="00BA128B" w:rsidRDefault="00F56582" w:rsidP="005D1ADA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F56582" w:rsidP="005D1ADA">
            <w:pPr>
              <w:rPr>
                <w:b/>
                <w:u w:val="single"/>
              </w:rPr>
            </w:pPr>
          </w:p>
        </w:tc>
      </w:tr>
      <w:tr w:rsidR="00075160" w:rsidTr="00EE405C">
        <w:tc>
          <w:tcPr>
            <w:tcW w:w="9582" w:type="dxa"/>
          </w:tcPr>
          <w:p w:rsidR="008423E4" w:rsidRPr="00A8133F" w:rsidRDefault="00F56582" w:rsidP="005D1AD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56582" w:rsidP="005D1ADA"/>
          <w:p w:rsidR="00BA128B" w:rsidRDefault="00F56582" w:rsidP="005D1A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56582" w:rsidP="005D1ADA">
            <w:pPr>
              <w:rPr>
                <w:b/>
              </w:rPr>
            </w:pPr>
          </w:p>
        </w:tc>
      </w:tr>
      <w:tr w:rsidR="00075160" w:rsidTr="00EE405C">
        <w:tc>
          <w:tcPr>
            <w:tcW w:w="9582" w:type="dxa"/>
          </w:tcPr>
          <w:p w:rsidR="008423E4" w:rsidRPr="00A8133F" w:rsidRDefault="00F56582" w:rsidP="005D1AD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56582" w:rsidP="005D1ADA"/>
          <w:p w:rsidR="00B8281A" w:rsidRPr="00B8281A" w:rsidRDefault="00F56582" w:rsidP="005D1ADA">
            <w:pPr>
              <w:jc w:val="both"/>
            </w:pPr>
            <w:r>
              <w:t>C.S.</w:t>
            </w:r>
            <w:r>
              <w:t>H.B. 2397 amends the Insurance Code to</w:t>
            </w:r>
            <w:r>
              <w:t xml:space="preserve"> remove the exception for a case involving fraud or malfeasance to the requirement that an insurer provide, on request and before terminating a contract with a preferred provider, a reasonable review mechanism to the affected provider who is a practitioner</w:t>
            </w:r>
            <w:r>
              <w:t>. The bill</w:t>
            </w:r>
            <w:r>
              <w:t xml:space="preserve"> authorize</w:t>
            </w:r>
            <w:r>
              <w:t>s</w:t>
            </w:r>
            <w:r>
              <w:t xml:space="preserve"> an insurer</w:t>
            </w:r>
            <w:r>
              <w:t xml:space="preserve"> that</w:t>
            </w:r>
            <w:r>
              <w:t xml:space="preserve"> provides </w:t>
            </w:r>
            <w:r>
              <w:t>written</w:t>
            </w:r>
            <w:r>
              <w:t xml:space="preserve"> notice </w:t>
            </w:r>
            <w:r>
              <w:t xml:space="preserve">of termination of a contract with a preferred provider </w:t>
            </w:r>
            <w:r>
              <w:t xml:space="preserve">and </w:t>
            </w:r>
            <w:r>
              <w:t xml:space="preserve">provides </w:t>
            </w:r>
            <w:r>
              <w:t xml:space="preserve">such </w:t>
            </w:r>
            <w:r>
              <w:t xml:space="preserve">a reasonable </w:t>
            </w:r>
            <w:r>
              <w:t xml:space="preserve">review </w:t>
            </w:r>
            <w:r>
              <w:t xml:space="preserve">mechanism </w:t>
            </w:r>
            <w:r>
              <w:t>to suspend the affected practitioner's participation in the preferred provider benefit plan</w:t>
            </w:r>
            <w:r>
              <w:t xml:space="preserve"> beginning not earlier than the date </w:t>
            </w:r>
            <w:r>
              <w:t>the</w:t>
            </w:r>
            <w:r>
              <w:t xml:space="preserve"> notice is provided and ending on the date the insurer makes a final determination under the bill's provisions</w:t>
            </w:r>
            <w:r w:rsidRPr="00BA128B">
              <w:t>.</w:t>
            </w:r>
            <w:r>
              <w:t xml:space="preserve"> The bill requires such an insurer to include written notice of the suspension, if applicable, with the r</w:t>
            </w:r>
            <w:r>
              <w:t>equired notice</w:t>
            </w:r>
            <w:r>
              <w:t xml:space="preserve"> of termination</w:t>
            </w:r>
            <w:r>
              <w:t>.</w:t>
            </w:r>
            <w:r>
              <w:t xml:space="preserve"> The bill requires an insurer</w:t>
            </w:r>
            <w:r>
              <w:t xml:space="preserve"> that</w:t>
            </w:r>
            <w:r w:rsidRPr="00B8281A">
              <w:t xml:space="preserve"> suspends a practitioner's participation in the preferred provider benefit plan </w:t>
            </w:r>
            <w:r>
              <w:t>to</w:t>
            </w:r>
            <w:r w:rsidRPr="00B8281A">
              <w:t xml:space="preserve"> make a final determination to terminate or resume the provider's participation in the preferred provider bene</w:t>
            </w:r>
            <w:r w:rsidRPr="00B8281A">
              <w:t>fit plan not later than three business days after the date the insurer receives the recommendation of the review panel</w:t>
            </w:r>
            <w:r>
              <w:t xml:space="preserve"> that is incorporated in the review mechanism</w:t>
            </w:r>
            <w:r w:rsidRPr="00B8281A">
              <w:t>. The</w:t>
            </w:r>
            <w:r>
              <w:t xml:space="preserve"> bill requires the </w:t>
            </w:r>
            <w:r w:rsidRPr="00B8281A">
              <w:t xml:space="preserve">insurer </w:t>
            </w:r>
            <w:r>
              <w:t xml:space="preserve">to </w:t>
            </w:r>
            <w:r w:rsidRPr="00B8281A">
              <w:t>immediately send to the practitioner written notice of the</w:t>
            </w:r>
            <w:r w:rsidRPr="00B8281A">
              <w:t xml:space="preserve"> insurer's determination.</w:t>
            </w:r>
          </w:p>
          <w:p w:rsidR="008423E4" w:rsidRPr="00835628" w:rsidRDefault="00F56582" w:rsidP="005D1AD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75160" w:rsidTr="00EE405C">
        <w:tc>
          <w:tcPr>
            <w:tcW w:w="9582" w:type="dxa"/>
          </w:tcPr>
          <w:p w:rsidR="008423E4" w:rsidRPr="00A8133F" w:rsidRDefault="00F56582" w:rsidP="005D1AD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56582" w:rsidP="005D1ADA"/>
          <w:p w:rsidR="008423E4" w:rsidRDefault="00F56582" w:rsidP="005D1AD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56582" w:rsidP="005D1ADA">
            <w:pPr>
              <w:rPr>
                <w:b/>
              </w:rPr>
            </w:pPr>
          </w:p>
        </w:tc>
      </w:tr>
      <w:tr w:rsidR="00075160" w:rsidTr="00EE405C">
        <w:tc>
          <w:tcPr>
            <w:tcW w:w="9582" w:type="dxa"/>
          </w:tcPr>
          <w:p w:rsidR="00EE405C" w:rsidRDefault="00F56582" w:rsidP="005D1AD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677A9" w:rsidRDefault="00F56582" w:rsidP="005D1ADA">
            <w:pPr>
              <w:jc w:val="both"/>
            </w:pPr>
          </w:p>
          <w:p w:rsidR="007677A9" w:rsidRDefault="00F56582" w:rsidP="005D1ADA">
            <w:pPr>
              <w:jc w:val="both"/>
            </w:pPr>
            <w:r>
              <w:t xml:space="preserve">While C.S.H.B. 2397 may differ from the original in minor or nonsubstantive ways, the following comparison is organized and formatted in a manner that </w:t>
            </w:r>
            <w:r>
              <w:t>indicates the substantial differences between the introduced and committee substitute versions of the bill.</w:t>
            </w:r>
          </w:p>
          <w:p w:rsidR="007677A9" w:rsidRPr="007677A9" w:rsidRDefault="00F56582" w:rsidP="005D1ADA">
            <w:pPr>
              <w:jc w:val="both"/>
            </w:pPr>
          </w:p>
        </w:tc>
      </w:tr>
      <w:tr w:rsidR="00075160" w:rsidTr="00EE405C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075160" w:rsidTr="007677A9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EE405C" w:rsidRDefault="00F56582" w:rsidP="005D1ADA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EE405C" w:rsidRDefault="00F56582" w:rsidP="005D1AD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075160" w:rsidTr="007677A9">
              <w:tc>
                <w:tcPr>
                  <w:tcW w:w="4680" w:type="dxa"/>
                  <w:tcMar>
                    <w:righ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 w:rsidRPr="007677A9">
                    <w:rPr>
                      <w:highlight w:val="lightGray"/>
                    </w:rPr>
                    <w:t>No equivalent provision.</w:t>
                  </w:r>
                </w:p>
                <w:p w:rsidR="00EE405C" w:rsidRDefault="00F56582" w:rsidP="005D1AD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t xml:space="preserve">SECTION 1.  The heading to Section 1301.057,  Insurance Code, is amended to read </w:t>
                  </w:r>
                  <w:r>
                    <w:t>as follows: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 xml:space="preserve">Sec. 1301.057.  TERMINATION </w:t>
                  </w:r>
                  <w:r>
                    <w:rPr>
                      <w:u w:val="single"/>
                    </w:rPr>
                    <w:t>OR SUSPENSION</w:t>
                  </w:r>
                  <w:r>
                    <w:t xml:space="preserve"> OF PARTICIPATION;  EXPEDITED REVIEW PROCESS.</w:t>
                  </w:r>
                </w:p>
              </w:tc>
            </w:tr>
            <w:tr w:rsidR="00075160" w:rsidTr="007677A9">
              <w:tc>
                <w:tcPr>
                  <w:tcW w:w="4680" w:type="dxa"/>
                  <w:tcMar>
                    <w:righ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t>SECTION 1.  Section 1301.057(a), Insurance Code, is amended to read as follows:</w:t>
                  </w:r>
                </w:p>
                <w:p w:rsidR="007677A9" w:rsidRDefault="00F56582" w:rsidP="005D1ADA">
                  <w:pPr>
                    <w:jc w:val="both"/>
                  </w:pPr>
                </w:p>
                <w:p w:rsidR="00EE405C" w:rsidRDefault="00F56582" w:rsidP="005D1ADA">
                  <w:pPr>
                    <w:jc w:val="both"/>
                  </w:pPr>
                  <w:r>
                    <w:t>(a)  Before terminating a contract with a preferred provider, an insurer sh</w:t>
                  </w:r>
                  <w:r>
                    <w:t>all: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>(1)  provide written reasons for the termination; and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>(2)  if the affected provider is a practitioner, provide, on request, a reasonable review mechanism, except in a case involving: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>(A)  imminent harm to a patient's health;</w:t>
                  </w: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>
                    <w:t xml:space="preserve">(B)  an action by a state </w:t>
                  </w:r>
                  <w:r>
                    <w:t>medical or other physician licensing board or other government agency that effectively impairs the practitioner's ability to practice medicine</w:t>
                  </w:r>
                  <w:r w:rsidRPr="007677A9">
                    <w:rPr>
                      <w:highlight w:val="lightGray"/>
                    </w:rPr>
                    <w:t>; or</w:t>
                  </w:r>
                </w:p>
                <w:p w:rsidR="00EE405C" w:rsidRDefault="00F56582" w:rsidP="005D1ADA">
                  <w:pPr>
                    <w:jc w:val="both"/>
                  </w:pPr>
                  <w:r w:rsidRPr="007677A9">
                    <w:rPr>
                      <w:highlight w:val="lightGray"/>
                    </w:rPr>
                    <w:t xml:space="preserve">(C)  fraud or malfeasance </w:t>
                  </w:r>
                  <w:r w:rsidRPr="007677A9">
                    <w:rPr>
                      <w:highlight w:val="lightGray"/>
                      <w:u w:val="single"/>
                    </w:rPr>
                    <w:t>committed by the practitioner against the insurer, as determined by a final, unappe</w:t>
                  </w:r>
                  <w:r w:rsidRPr="007677A9">
                    <w:rPr>
                      <w:highlight w:val="lightGray"/>
                      <w:u w:val="single"/>
                    </w:rPr>
                    <w:t>alable judgment of a court</w:t>
                  </w:r>
                  <w:r w:rsidRPr="007677A9">
                    <w:rPr>
                      <w:highlight w:val="lightGray"/>
                    </w:rPr>
                    <w:t>.</w:t>
                  </w:r>
                </w:p>
                <w:p w:rsidR="00EE405C" w:rsidRDefault="00F56582" w:rsidP="005D1ADA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t>SECTION 2.  Section 1301.057, Insurance Code, is amended by amending Subsection (a) and adding Subsections (a-1) and (a-2) to read as follows: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>(a)  Before terminating a contract with a preferred provider, an insurer shall: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 xml:space="preserve">(1) </w:t>
                  </w:r>
                  <w:r>
                    <w:t xml:space="preserve"> provide written reasons for the termination; and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>(2)  if the affected provider is a practitioner, provide, on request, a reasonable review mechanism, except in a case involving:</w:t>
                  </w:r>
                </w:p>
                <w:p w:rsidR="00EE405C" w:rsidRDefault="00F56582" w:rsidP="005D1ADA">
                  <w:pPr>
                    <w:jc w:val="both"/>
                  </w:pPr>
                  <w:r>
                    <w:t xml:space="preserve">(A)  imminent harm to a patient's health; </w:t>
                  </w:r>
                  <w:r>
                    <w:rPr>
                      <w:u w:val="single"/>
                    </w:rPr>
                    <w:t>or</w:t>
                  </w: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>
                    <w:t>(B)  an action by a state medica</w:t>
                  </w:r>
                  <w:r>
                    <w:t>l or other physician licensing board or other government agency that effectively impairs the practitioner's ability to practice medicine</w:t>
                  </w:r>
                  <w:r w:rsidRPr="007677A9">
                    <w:rPr>
                      <w:highlight w:val="lightGray"/>
                    </w:rPr>
                    <w:t>[</w:t>
                  </w:r>
                  <w:r w:rsidRPr="007677A9">
                    <w:rPr>
                      <w:strike/>
                      <w:highlight w:val="lightGray"/>
                    </w:rPr>
                    <w:t>; or</w:t>
                  </w:r>
                </w:p>
                <w:p w:rsidR="00EE405C" w:rsidRDefault="00F56582" w:rsidP="005D1ADA">
                  <w:pPr>
                    <w:jc w:val="both"/>
                  </w:pPr>
                  <w:r w:rsidRPr="007677A9">
                    <w:rPr>
                      <w:highlight w:val="lightGray"/>
                    </w:rPr>
                    <w:t>[</w:t>
                  </w:r>
                  <w:r w:rsidRPr="007677A9">
                    <w:rPr>
                      <w:strike/>
                      <w:highlight w:val="lightGray"/>
                    </w:rPr>
                    <w:t>(C)  fraud or malfeasance</w:t>
                  </w:r>
                  <w:r w:rsidRPr="007677A9">
                    <w:rPr>
                      <w:highlight w:val="lightGray"/>
                    </w:rPr>
                    <w:t>].</w:t>
                  </w:r>
                </w:p>
                <w:p w:rsidR="007677A9" w:rsidRDefault="00F56582" w:rsidP="005D1ADA">
                  <w:pPr>
                    <w:jc w:val="both"/>
                  </w:pPr>
                </w:p>
                <w:p w:rsidR="007677A9" w:rsidRDefault="00F56582" w:rsidP="005D1ADA">
                  <w:pPr>
                    <w:jc w:val="both"/>
                  </w:pPr>
                </w:p>
                <w:p w:rsidR="007677A9" w:rsidRDefault="00F56582" w:rsidP="005D1ADA">
                  <w:pPr>
                    <w:jc w:val="both"/>
                  </w:pP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 w:rsidRPr="007677A9">
                    <w:rPr>
                      <w:highlight w:val="lightGray"/>
                      <w:u w:val="single"/>
                    </w:rPr>
                    <w:t>(a-1)  If an insurer provides notice and review under Subsection (a) in a case inv</w:t>
                  </w:r>
                  <w:r w:rsidRPr="007677A9">
                    <w:rPr>
                      <w:highlight w:val="lightGray"/>
                      <w:u w:val="single"/>
                    </w:rPr>
                    <w:t>olving fraud or malfeasance by the affected practitioner, the insurer:</w:t>
                  </w: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 w:rsidRPr="007677A9">
                    <w:rPr>
                      <w:highlight w:val="lightGray"/>
                      <w:u w:val="single"/>
                    </w:rPr>
                    <w:t>(1)  may suspend the affected practitioner's participation in the preferred provider benefit plan:</w:t>
                  </w: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 w:rsidRPr="007677A9">
                    <w:rPr>
                      <w:highlight w:val="lightGray"/>
                      <w:u w:val="single"/>
                    </w:rPr>
                    <w:t xml:space="preserve">(A)  beginning not earlier than the date the notice is provided under Subsection (a); </w:t>
                  </w:r>
                  <w:r w:rsidRPr="007677A9">
                    <w:rPr>
                      <w:highlight w:val="lightGray"/>
                      <w:u w:val="single"/>
                    </w:rPr>
                    <w:t>and</w:t>
                  </w: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 w:rsidRPr="007677A9">
                    <w:rPr>
                      <w:highlight w:val="lightGray"/>
                      <w:u w:val="single"/>
                    </w:rPr>
                    <w:t>(B)  ending on the date the insurer makes a final determination under Subsection (a-2); and</w:t>
                  </w:r>
                </w:p>
                <w:p w:rsidR="00EE405C" w:rsidRPr="007677A9" w:rsidRDefault="00F56582" w:rsidP="005D1ADA">
                  <w:pPr>
                    <w:jc w:val="both"/>
                    <w:rPr>
                      <w:highlight w:val="lightGray"/>
                    </w:rPr>
                  </w:pPr>
                  <w:r w:rsidRPr="007677A9">
                    <w:rPr>
                      <w:highlight w:val="lightGray"/>
                      <w:u w:val="single"/>
                    </w:rPr>
                    <w:t>(2)  must include written notice of the suspension, if applicable, with the notice required under Subsection (a).</w:t>
                  </w:r>
                </w:p>
                <w:p w:rsidR="00EE405C" w:rsidRDefault="00F56582" w:rsidP="005D1ADA">
                  <w:pPr>
                    <w:jc w:val="both"/>
                  </w:pPr>
                  <w:r w:rsidRPr="007677A9">
                    <w:rPr>
                      <w:highlight w:val="lightGray"/>
                      <w:u w:val="single"/>
                    </w:rPr>
                    <w:t>(a-2)  If an insurer suspends a practitioner's</w:t>
                  </w:r>
                  <w:r w:rsidRPr="007677A9">
                    <w:rPr>
                      <w:highlight w:val="lightGray"/>
                      <w:u w:val="single"/>
                    </w:rPr>
                    <w:t xml:space="preserve"> participation in the preferred provider benefit plan under Subsection (a-1), the insurer shall make a final determination to terminate or resume the provider's participation in the preferred provider benefit plan not later than three business days after t</w:t>
                  </w:r>
                  <w:r w:rsidRPr="007677A9">
                    <w:rPr>
                      <w:highlight w:val="lightGray"/>
                      <w:u w:val="single"/>
                    </w:rPr>
                    <w:t xml:space="preserve">he date the insurer receives the recommendation of the review panel </w:t>
                  </w:r>
                  <w:r w:rsidRPr="007677A9">
                    <w:rPr>
                      <w:highlight w:val="lightGray"/>
                      <w:u w:val="single"/>
                    </w:rPr>
                    <w:lastRenderedPageBreak/>
                    <w:t>described by Subsection (b).  The insurer shall immediately send to the practitioner written notice of the insurer's determination.</w:t>
                  </w:r>
                </w:p>
              </w:tc>
            </w:tr>
            <w:tr w:rsidR="00075160" w:rsidTr="007677A9">
              <w:tc>
                <w:tcPr>
                  <w:tcW w:w="4680" w:type="dxa"/>
                  <w:tcMar>
                    <w:righ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lastRenderedPageBreak/>
                    <w:t xml:space="preserve">SECTION 2.  The change in law made by this Act applies </w:t>
                  </w:r>
                  <w:r>
                    <w:t>only to a contract entered into or renewed on or after the effective date of this Act.  A contract entered into or renewed before the effective date of this Act is governed by the law as it existed immediately before the effective date of this Act, and tha</w:t>
                  </w:r>
                  <w:r>
                    <w:t>t law is continued in effect for that purpose.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t>SECTION 3. Same as introduced version.</w:t>
                  </w:r>
                </w:p>
                <w:p w:rsidR="00EE405C" w:rsidRDefault="00F56582" w:rsidP="005D1ADA">
                  <w:pPr>
                    <w:jc w:val="both"/>
                  </w:pPr>
                </w:p>
                <w:p w:rsidR="00EE405C" w:rsidRDefault="00F56582" w:rsidP="005D1ADA">
                  <w:pPr>
                    <w:jc w:val="both"/>
                  </w:pPr>
                </w:p>
              </w:tc>
            </w:tr>
            <w:tr w:rsidR="00075160" w:rsidTr="007677A9">
              <w:tc>
                <w:tcPr>
                  <w:tcW w:w="4680" w:type="dxa"/>
                  <w:tcMar>
                    <w:righ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EE405C" w:rsidRDefault="00F56582" w:rsidP="005D1ADA">
                  <w:pPr>
                    <w:jc w:val="both"/>
                  </w:pPr>
                  <w:r>
                    <w:t>SECTION 4. Same as introduced version.</w:t>
                  </w:r>
                </w:p>
                <w:p w:rsidR="00EE405C" w:rsidRDefault="00F56582" w:rsidP="005D1ADA">
                  <w:pPr>
                    <w:jc w:val="both"/>
                  </w:pPr>
                </w:p>
              </w:tc>
            </w:tr>
          </w:tbl>
          <w:p w:rsidR="00EE405C" w:rsidRDefault="00F56582" w:rsidP="005D1ADA"/>
          <w:p w:rsidR="00EE405C" w:rsidRPr="009C1E9A" w:rsidRDefault="00F56582" w:rsidP="005D1ADA">
            <w:pPr>
              <w:rPr>
                <w:b/>
                <w:u w:val="single"/>
              </w:rPr>
            </w:pPr>
          </w:p>
        </w:tc>
      </w:tr>
    </w:tbl>
    <w:p w:rsidR="008423E4" w:rsidRPr="00BE0E75" w:rsidRDefault="00F565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5658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6582">
      <w:r>
        <w:separator/>
      </w:r>
    </w:p>
  </w:endnote>
  <w:endnote w:type="continuationSeparator" w:id="0">
    <w:p w:rsidR="00000000" w:rsidRDefault="00F5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75160" w:rsidTr="009C1E9A">
      <w:trPr>
        <w:cantSplit/>
      </w:trPr>
      <w:tc>
        <w:tcPr>
          <w:tcW w:w="0" w:type="pct"/>
        </w:tcPr>
        <w:p w:rsidR="00137D90" w:rsidRDefault="00F565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565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565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565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565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5160" w:rsidTr="009C1E9A">
      <w:trPr>
        <w:cantSplit/>
      </w:trPr>
      <w:tc>
        <w:tcPr>
          <w:tcW w:w="0" w:type="pct"/>
        </w:tcPr>
        <w:p w:rsidR="00EC379B" w:rsidRDefault="00F565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565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28869</w:t>
          </w:r>
        </w:p>
      </w:tc>
      <w:tc>
        <w:tcPr>
          <w:tcW w:w="2453" w:type="pct"/>
        </w:tcPr>
        <w:p w:rsidR="00EC379B" w:rsidRDefault="00F565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17.125.1152</w:t>
          </w:r>
          <w:r>
            <w:fldChar w:fldCharType="end"/>
          </w:r>
        </w:p>
      </w:tc>
    </w:tr>
    <w:tr w:rsidR="00075160" w:rsidTr="009C1E9A">
      <w:trPr>
        <w:cantSplit/>
      </w:trPr>
      <w:tc>
        <w:tcPr>
          <w:tcW w:w="0" w:type="pct"/>
        </w:tcPr>
        <w:p w:rsidR="00EC379B" w:rsidRDefault="00F565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565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28066</w:t>
          </w:r>
        </w:p>
      </w:tc>
      <w:tc>
        <w:tcPr>
          <w:tcW w:w="2453" w:type="pct"/>
        </w:tcPr>
        <w:p w:rsidR="00EC379B" w:rsidRDefault="00F56582" w:rsidP="006D504F">
          <w:pPr>
            <w:pStyle w:val="Footer"/>
            <w:rPr>
              <w:rStyle w:val="PageNumber"/>
            </w:rPr>
          </w:pPr>
        </w:p>
        <w:p w:rsidR="00EC379B" w:rsidRDefault="00F565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7516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565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565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565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6582">
      <w:r>
        <w:separator/>
      </w:r>
    </w:p>
  </w:footnote>
  <w:footnote w:type="continuationSeparator" w:id="0">
    <w:p w:rsidR="00000000" w:rsidRDefault="00F5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0"/>
    <w:rsid w:val="00075160"/>
    <w:rsid w:val="00F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7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499"/>
  </w:style>
  <w:style w:type="paragraph" w:styleId="CommentSubject">
    <w:name w:val="annotation subject"/>
    <w:basedOn w:val="CommentText"/>
    <w:next w:val="CommentText"/>
    <w:link w:val="CommentSubjectChar"/>
    <w:rsid w:val="00F0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074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7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499"/>
  </w:style>
  <w:style w:type="paragraph" w:styleId="CommentSubject">
    <w:name w:val="annotation subject"/>
    <w:basedOn w:val="CommentText"/>
    <w:next w:val="CommentText"/>
    <w:link w:val="CommentSubjectChar"/>
    <w:rsid w:val="00F0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4841</Characters>
  <Application>Microsoft Office Word</Application>
  <DocSecurity>4</DocSecurity>
  <Lines>156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HB02397 (Committee Report (Substituted))</vt:lpstr>
    </vt:vector>
  </TitlesOfParts>
  <Company>State of Texas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28869</dc:subject>
  <dc:creator>State of Texas</dc:creator>
  <dc:description>HB 2397 by Muñoz, Jr.-(H)Insurance (Substitute Document Number: 85R 28066)</dc:description>
  <cp:lastModifiedBy>Molly Hoffman-Bricker</cp:lastModifiedBy>
  <cp:revision>2</cp:revision>
  <cp:lastPrinted>2017-05-06T00:33:00Z</cp:lastPrinted>
  <dcterms:created xsi:type="dcterms:W3CDTF">2017-05-08T19:12:00Z</dcterms:created>
  <dcterms:modified xsi:type="dcterms:W3CDTF">2017-05-08T19:12:00Z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17.125.1152</vt:lpwstr>
  </property>
</Properties>
</file>