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02D83" w:rsidTr="00345119">
        <w:tc>
          <w:tcPr>
            <w:tcW w:w="9576" w:type="dxa"/>
            <w:noWrap/>
          </w:tcPr>
          <w:p w:rsidR="008423E4" w:rsidRPr="0022177D" w:rsidRDefault="00885272" w:rsidP="00345119">
            <w:pPr>
              <w:pStyle w:val="Heading1"/>
            </w:pPr>
            <w:bookmarkStart w:id="0" w:name="_GoBack"/>
            <w:bookmarkEnd w:id="0"/>
            <w:r w:rsidRPr="00631897">
              <w:t>BILL ANALYSIS</w:t>
            </w:r>
          </w:p>
        </w:tc>
      </w:tr>
    </w:tbl>
    <w:p w:rsidR="008423E4" w:rsidRPr="0022177D" w:rsidRDefault="00885272" w:rsidP="008423E4">
      <w:pPr>
        <w:jc w:val="center"/>
      </w:pPr>
    </w:p>
    <w:p w:rsidR="008423E4" w:rsidRPr="00B31F0E" w:rsidRDefault="00885272" w:rsidP="008423E4"/>
    <w:p w:rsidR="008423E4" w:rsidRPr="00742794" w:rsidRDefault="00885272" w:rsidP="008423E4">
      <w:pPr>
        <w:tabs>
          <w:tab w:val="right" w:pos="9360"/>
        </w:tabs>
      </w:pPr>
    </w:p>
    <w:tbl>
      <w:tblPr>
        <w:tblW w:w="0" w:type="auto"/>
        <w:tblLayout w:type="fixed"/>
        <w:tblLook w:val="01E0" w:firstRow="1" w:lastRow="1" w:firstColumn="1" w:lastColumn="1" w:noHBand="0" w:noVBand="0"/>
      </w:tblPr>
      <w:tblGrid>
        <w:gridCol w:w="9576"/>
      </w:tblGrid>
      <w:tr w:rsidR="00802D83" w:rsidTr="00345119">
        <w:tc>
          <w:tcPr>
            <w:tcW w:w="9576" w:type="dxa"/>
          </w:tcPr>
          <w:p w:rsidR="008423E4" w:rsidRPr="00861995" w:rsidRDefault="00885272" w:rsidP="00345119">
            <w:pPr>
              <w:jc w:val="right"/>
            </w:pPr>
            <w:r>
              <w:t>C.S.H.B. 2422</w:t>
            </w:r>
          </w:p>
        </w:tc>
      </w:tr>
      <w:tr w:rsidR="00802D83" w:rsidTr="00345119">
        <w:tc>
          <w:tcPr>
            <w:tcW w:w="9576" w:type="dxa"/>
          </w:tcPr>
          <w:p w:rsidR="008423E4" w:rsidRPr="00861995" w:rsidRDefault="00885272" w:rsidP="00593D17">
            <w:pPr>
              <w:jc w:val="right"/>
            </w:pPr>
            <w:r>
              <w:t xml:space="preserve">By: </w:t>
            </w:r>
            <w:r>
              <w:t>Schofield</w:t>
            </w:r>
          </w:p>
        </w:tc>
      </w:tr>
      <w:tr w:rsidR="00802D83" w:rsidTr="00345119">
        <w:tc>
          <w:tcPr>
            <w:tcW w:w="9576" w:type="dxa"/>
          </w:tcPr>
          <w:p w:rsidR="008423E4" w:rsidRPr="00861995" w:rsidRDefault="00885272" w:rsidP="00345119">
            <w:pPr>
              <w:jc w:val="right"/>
            </w:pPr>
            <w:r>
              <w:t>Judiciary &amp; Civil Jurisprudence</w:t>
            </w:r>
          </w:p>
        </w:tc>
      </w:tr>
      <w:tr w:rsidR="00802D83" w:rsidTr="00345119">
        <w:tc>
          <w:tcPr>
            <w:tcW w:w="9576" w:type="dxa"/>
          </w:tcPr>
          <w:p w:rsidR="008423E4" w:rsidRDefault="00885272" w:rsidP="00593D17">
            <w:pPr>
              <w:jc w:val="right"/>
            </w:pPr>
            <w:r>
              <w:t>Committee Report (Substituted)</w:t>
            </w:r>
          </w:p>
        </w:tc>
      </w:tr>
    </w:tbl>
    <w:p w:rsidR="008423E4" w:rsidRDefault="00885272" w:rsidP="008423E4">
      <w:pPr>
        <w:tabs>
          <w:tab w:val="right" w:pos="9360"/>
        </w:tabs>
      </w:pPr>
    </w:p>
    <w:p w:rsidR="008423E4" w:rsidRDefault="00885272" w:rsidP="008423E4"/>
    <w:p w:rsidR="008423E4" w:rsidRDefault="00885272" w:rsidP="008423E4"/>
    <w:tbl>
      <w:tblPr>
        <w:tblW w:w="0" w:type="auto"/>
        <w:tblCellMar>
          <w:left w:w="115" w:type="dxa"/>
          <w:right w:w="115" w:type="dxa"/>
        </w:tblCellMar>
        <w:tblLook w:val="01E0" w:firstRow="1" w:lastRow="1" w:firstColumn="1" w:lastColumn="1" w:noHBand="0" w:noVBand="0"/>
      </w:tblPr>
      <w:tblGrid>
        <w:gridCol w:w="9590"/>
      </w:tblGrid>
      <w:tr w:rsidR="00802D83" w:rsidTr="00323117">
        <w:tc>
          <w:tcPr>
            <w:tcW w:w="9582" w:type="dxa"/>
          </w:tcPr>
          <w:p w:rsidR="008423E4" w:rsidRPr="00A8133F" w:rsidRDefault="00885272" w:rsidP="00711818">
            <w:pPr>
              <w:rPr>
                <w:b/>
              </w:rPr>
            </w:pPr>
            <w:r w:rsidRPr="009C1E9A">
              <w:rPr>
                <w:b/>
                <w:u w:val="single"/>
              </w:rPr>
              <w:t>BACKGROUND AND PURPOSE</w:t>
            </w:r>
            <w:r>
              <w:rPr>
                <w:b/>
              </w:rPr>
              <w:t xml:space="preserve"> </w:t>
            </w:r>
          </w:p>
          <w:p w:rsidR="008423E4" w:rsidRDefault="00885272" w:rsidP="00711818"/>
          <w:p w:rsidR="008423E4" w:rsidRDefault="00885272" w:rsidP="00711818">
            <w:pPr>
              <w:pStyle w:val="Header"/>
              <w:tabs>
                <w:tab w:val="clear" w:pos="4320"/>
                <w:tab w:val="clear" w:pos="8640"/>
              </w:tabs>
              <w:jc w:val="both"/>
            </w:pPr>
            <w:r>
              <w:t xml:space="preserve">Interested parties contend that third-party </w:t>
            </w:r>
            <w:r w:rsidRPr="005E15D4">
              <w:t>affiant</w:t>
            </w:r>
            <w:r>
              <w:t>s</w:t>
            </w:r>
            <w:r w:rsidRPr="005E15D4">
              <w:t xml:space="preserve"> in </w:t>
            </w:r>
            <w:r>
              <w:t>certain</w:t>
            </w:r>
            <w:r w:rsidRPr="005E15D4">
              <w:t xml:space="preserve"> </w:t>
            </w:r>
            <w:r w:rsidRPr="005E15D4">
              <w:t>professional liability case</w:t>
            </w:r>
            <w:r>
              <w:t>s</w:t>
            </w:r>
            <w:r w:rsidRPr="005E15D4">
              <w:t xml:space="preserve"> </w:t>
            </w:r>
            <w:r>
              <w:t xml:space="preserve">should include in or along with their affidavit facts that establish that the affiant is qualified to render an opinion in the case. </w:t>
            </w:r>
            <w:r>
              <w:t>C.S.</w:t>
            </w:r>
            <w:r>
              <w:t xml:space="preserve">H.B. 2422 seeks to address this issue by requiring such an affiant to </w:t>
            </w:r>
            <w:r>
              <w:t xml:space="preserve">so </w:t>
            </w:r>
            <w:r>
              <w:t xml:space="preserve">include </w:t>
            </w:r>
            <w:r>
              <w:t xml:space="preserve">and </w:t>
            </w:r>
            <w:r>
              <w:t>to attach the affiant's curriculum</w:t>
            </w:r>
            <w:r>
              <w:t xml:space="preserve"> vitae or </w:t>
            </w:r>
            <w:r>
              <w:t xml:space="preserve">a </w:t>
            </w:r>
            <w:r>
              <w:t>similar document to the affidavit.</w:t>
            </w:r>
          </w:p>
          <w:p w:rsidR="008423E4" w:rsidRPr="00E26B13" w:rsidRDefault="00885272" w:rsidP="00711818">
            <w:pPr>
              <w:rPr>
                <w:b/>
              </w:rPr>
            </w:pPr>
          </w:p>
        </w:tc>
      </w:tr>
      <w:tr w:rsidR="00802D83" w:rsidTr="00323117">
        <w:tc>
          <w:tcPr>
            <w:tcW w:w="9582" w:type="dxa"/>
          </w:tcPr>
          <w:p w:rsidR="0017725B" w:rsidRDefault="00885272" w:rsidP="00711818">
            <w:pPr>
              <w:rPr>
                <w:b/>
                <w:u w:val="single"/>
              </w:rPr>
            </w:pPr>
            <w:r>
              <w:rPr>
                <w:b/>
                <w:u w:val="single"/>
              </w:rPr>
              <w:t>CRIMINAL JUSTICE IMPACT</w:t>
            </w:r>
          </w:p>
          <w:p w:rsidR="0017725B" w:rsidRDefault="00885272" w:rsidP="00711818">
            <w:pPr>
              <w:rPr>
                <w:b/>
                <w:u w:val="single"/>
              </w:rPr>
            </w:pPr>
          </w:p>
          <w:p w:rsidR="00776463" w:rsidRPr="00776463" w:rsidRDefault="00885272" w:rsidP="00711818">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885272" w:rsidP="00711818">
            <w:pPr>
              <w:rPr>
                <w:b/>
                <w:u w:val="single"/>
              </w:rPr>
            </w:pPr>
          </w:p>
        </w:tc>
      </w:tr>
      <w:tr w:rsidR="00802D83" w:rsidTr="00323117">
        <w:tc>
          <w:tcPr>
            <w:tcW w:w="9582" w:type="dxa"/>
          </w:tcPr>
          <w:p w:rsidR="008423E4" w:rsidRPr="00A8133F" w:rsidRDefault="00885272" w:rsidP="00711818">
            <w:pPr>
              <w:rPr>
                <w:b/>
              </w:rPr>
            </w:pPr>
            <w:r w:rsidRPr="009C1E9A">
              <w:rPr>
                <w:b/>
                <w:u w:val="single"/>
              </w:rPr>
              <w:t>RULEMAKING AUTHORITY</w:t>
            </w:r>
            <w:r>
              <w:rPr>
                <w:b/>
              </w:rPr>
              <w:t xml:space="preserve"> </w:t>
            </w:r>
          </w:p>
          <w:p w:rsidR="008423E4" w:rsidRDefault="00885272" w:rsidP="00711818"/>
          <w:p w:rsidR="00776463" w:rsidRDefault="00885272" w:rsidP="00711818">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885272" w:rsidP="00711818">
            <w:pPr>
              <w:rPr>
                <w:b/>
              </w:rPr>
            </w:pPr>
          </w:p>
        </w:tc>
      </w:tr>
      <w:tr w:rsidR="00802D83" w:rsidTr="00323117">
        <w:tc>
          <w:tcPr>
            <w:tcW w:w="9582" w:type="dxa"/>
          </w:tcPr>
          <w:p w:rsidR="008423E4" w:rsidRPr="00A8133F" w:rsidRDefault="00885272" w:rsidP="00711818">
            <w:pPr>
              <w:rPr>
                <w:b/>
              </w:rPr>
            </w:pPr>
            <w:r w:rsidRPr="009C1E9A">
              <w:rPr>
                <w:b/>
                <w:u w:val="single"/>
              </w:rPr>
              <w:t>ANALYSIS</w:t>
            </w:r>
            <w:r>
              <w:rPr>
                <w:b/>
              </w:rPr>
              <w:t xml:space="preserve"> </w:t>
            </w:r>
          </w:p>
          <w:p w:rsidR="008423E4" w:rsidRDefault="00885272" w:rsidP="00711818"/>
          <w:p w:rsidR="00E444AD" w:rsidRDefault="00885272" w:rsidP="00711818">
            <w:pPr>
              <w:pStyle w:val="Header"/>
              <w:jc w:val="both"/>
            </w:pPr>
            <w:r>
              <w:t xml:space="preserve">C.S.H.B. 2422 amends the Civil Practice </w:t>
            </w:r>
            <w:r>
              <w:t>and</w:t>
            </w:r>
            <w:r>
              <w:t xml:space="preserve"> Remedies Code to require </w:t>
            </w:r>
            <w:r>
              <w:t>the</w:t>
            </w:r>
            <w:r>
              <w:t xml:space="preserve"> </w:t>
            </w:r>
            <w:r>
              <w:t xml:space="preserve">third-party </w:t>
            </w:r>
            <w:r>
              <w:t>affidavit</w:t>
            </w:r>
            <w:r>
              <w:t xml:space="preserve"> </w:t>
            </w:r>
            <w:r>
              <w:t xml:space="preserve">required to be filed </w:t>
            </w:r>
            <w:r>
              <w:t xml:space="preserve">with the complaint </w:t>
            </w:r>
            <w:r>
              <w:t xml:space="preserve">in any action or arbitration proceeding for damages arising out of the provision of professional services by a licensed </w:t>
            </w:r>
            <w:r>
              <w:t xml:space="preserve">architect, </w:t>
            </w:r>
            <w:r>
              <w:t xml:space="preserve">a </w:t>
            </w:r>
            <w:r>
              <w:t>licensed</w:t>
            </w:r>
            <w:r>
              <w:t xml:space="preserve"> </w:t>
            </w:r>
            <w:r>
              <w:t xml:space="preserve">professional engineer, </w:t>
            </w:r>
            <w:r>
              <w:t xml:space="preserve">a </w:t>
            </w:r>
            <w:r>
              <w:t xml:space="preserve">registered professional </w:t>
            </w:r>
            <w:r>
              <w:t xml:space="preserve">land surveyor, </w:t>
            </w:r>
            <w:r>
              <w:t xml:space="preserve">a </w:t>
            </w:r>
            <w:r>
              <w:t>registered landscape architect, or any firm in w</w:t>
            </w:r>
            <w:r>
              <w:t xml:space="preserve">hich such licensed or registered professional practices </w:t>
            </w:r>
            <w:r>
              <w:t>to</w:t>
            </w:r>
            <w:r>
              <w:t xml:space="preserve"> </w:t>
            </w:r>
            <w:r>
              <w:t xml:space="preserve">set forth </w:t>
            </w:r>
            <w:r>
              <w:t xml:space="preserve">specifically </w:t>
            </w:r>
            <w:r>
              <w:t xml:space="preserve">facts sufficient to establish the affiant's familiarity or experience with the </w:t>
            </w:r>
            <w:r>
              <w:t xml:space="preserve">relevant </w:t>
            </w:r>
            <w:r>
              <w:t>practice area such that the affiant's qualifications to render an opinion on the matte</w:t>
            </w:r>
            <w:r>
              <w:t xml:space="preserve">rs </w:t>
            </w:r>
            <w:r>
              <w:t xml:space="preserve">set forth </w:t>
            </w:r>
            <w:r>
              <w:t xml:space="preserve">in the affidavit </w:t>
            </w:r>
            <w:r>
              <w:t>for purposes of</w:t>
            </w:r>
            <w:r>
              <w:t xml:space="preserve"> </w:t>
            </w:r>
            <w:r>
              <w:t xml:space="preserve">the negligence or other action, error, or omission of </w:t>
            </w:r>
            <w:r>
              <w:t xml:space="preserve">the licensed or registered professional </w:t>
            </w:r>
            <w:r>
              <w:t>in providing the professional service</w:t>
            </w:r>
            <w:r>
              <w:t xml:space="preserve"> are established</w:t>
            </w:r>
            <w:r>
              <w:t>. The bill</w:t>
            </w:r>
            <w:r>
              <w:t xml:space="preserve"> </w:t>
            </w:r>
            <w:r>
              <w:t>require</w:t>
            </w:r>
            <w:r>
              <w:t>s</w:t>
            </w:r>
            <w:r>
              <w:t xml:space="preserve"> the affiant to attach to the affidavit as a</w:t>
            </w:r>
            <w:r>
              <w:t xml:space="preserve">n exhibit the affiant's curriculum vitae or </w:t>
            </w:r>
            <w:r>
              <w:t xml:space="preserve">a </w:t>
            </w:r>
            <w:r>
              <w:t xml:space="preserve">similar document sufficient to establish that the affiant meets </w:t>
            </w:r>
            <w:r>
              <w:t xml:space="preserve">certain </w:t>
            </w:r>
            <w:r>
              <w:t xml:space="preserve">affiant eligibility </w:t>
            </w:r>
            <w:r>
              <w:t>requirements.</w:t>
            </w:r>
          </w:p>
          <w:p w:rsidR="008423E4" w:rsidRPr="00835628" w:rsidRDefault="00885272" w:rsidP="00711818">
            <w:pPr>
              <w:rPr>
                <w:b/>
              </w:rPr>
            </w:pPr>
          </w:p>
        </w:tc>
      </w:tr>
      <w:tr w:rsidR="00802D83" w:rsidTr="00323117">
        <w:tc>
          <w:tcPr>
            <w:tcW w:w="9582" w:type="dxa"/>
          </w:tcPr>
          <w:p w:rsidR="008423E4" w:rsidRPr="00A8133F" w:rsidRDefault="00885272" w:rsidP="00711818">
            <w:pPr>
              <w:rPr>
                <w:b/>
              </w:rPr>
            </w:pPr>
            <w:r w:rsidRPr="009C1E9A">
              <w:rPr>
                <w:b/>
                <w:u w:val="single"/>
              </w:rPr>
              <w:t>EFFECTIVE DATE</w:t>
            </w:r>
            <w:r>
              <w:rPr>
                <w:b/>
              </w:rPr>
              <w:t xml:space="preserve"> </w:t>
            </w:r>
          </w:p>
          <w:p w:rsidR="008423E4" w:rsidRDefault="00885272" w:rsidP="00711818"/>
          <w:p w:rsidR="008423E4" w:rsidRPr="003624F2" w:rsidRDefault="00885272" w:rsidP="00711818">
            <w:pPr>
              <w:pStyle w:val="Header"/>
              <w:tabs>
                <w:tab w:val="clear" w:pos="4320"/>
                <w:tab w:val="clear" w:pos="8640"/>
              </w:tabs>
              <w:jc w:val="both"/>
            </w:pPr>
            <w:r>
              <w:t>On passage, or, if the bill does not receive the necessary vote, September 1, 2017.</w:t>
            </w:r>
          </w:p>
          <w:p w:rsidR="008423E4" w:rsidRPr="00233FDB" w:rsidRDefault="00885272" w:rsidP="00711818">
            <w:pPr>
              <w:rPr>
                <w:b/>
              </w:rPr>
            </w:pPr>
          </w:p>
        </w:tc>
      </w:tr>
      <w:tr w:rsidR="00802D83" w:rsidTr="00323117">
        <w:tc>
          <w:tcPr>
            <w:tcW w:w="9582" w:type="dxa"/>
          </w:tcPr>
          <w:p w:rsidR="00593D17" w:rsidRDefault="00885272" w:rsidP="00711818">
            <w:pPr>
              <w:jc w:val="both"/>
              <w:rPr>
                <w:b/>
                <w:u w:val="single"/>
              </w:rPr>
            </w:pPr>
            <w:r>
              <w:rPr>
                <w:b/>
                <w:u w:val="single"/>
              </w:rPr>
              <w:t>COMPARISON OF ORIGINAL AND SUBSTITUTE</w:t>
            </w:r>
          </w:p>
          <w:p w:rsidR="00EE66D8" w:rsidRDefault="00885272" w:rsidP="00711818">
            <w:pPr>
              <w:jc w:val="both"/>
            </w:pPr>
          </w:p>
          <w:p w:rsidR="00EE66D8" w:rsidRDefault="00885272" w:rsidP="00711818">
            <w:pPr>
              <w:jc w:val="both"/>
            </w:pPr>
            <w:r>
              <w:t xml:space="preserve">While C.S.H.B. 2422 may differ from the original in minor or nonsubstantive ways, the following comparison is organized and formatted in a manner that indicates the substantial differences between the introduced and </w:t>
            </w:r>
            <w:r>
              <w:t>committee substitute versions of the bill.</w:t>
            </w:r>
          </w:p>
          <w:p w:rsidR="00E05EE9" w:rsidRDefault="00885272" w:rsidP="00711818">
            <w:pPr>
              <w:jc w:val="both"/>
              <w:rPr>
                <w:b/>
                <w:u w:val="single"/>
              </w:rPr>
            </w:pPr>
          </w:p>
          <w:p w:rsidR="00711818" w:rsidRDefault="00885272" w:rsidP="00711818">
            <w:pPr>
              <w:jc w:val="both"/>
              <w:rPr>
                <w:b/>
                <w:u w:val="single"/>
              </w:rPr>
            </w:pPr>
          </w:p>
          <w:p w:rsidR="00711818" w:rsidRPr="00323117" w:rsidRDefault="00885272" w:rsidP="00711818">
            <w:pPr>
              <w:jc w:val="both"/>
              <w:rPr>
                <w:b/>
                <w:u w:val="single"/>
              </w:rPr>
            </w:pPr>
          </w:p>
        </w:tc>
      </w:tr>
      <w:tr w:rsidR="00802D83" w:rsidTr="00323117">
        <w:tc>
          <w:tcPr>
            <w:tcW w:w="9582" w:type="dxa"/>
          </w:tcPr>
          <w:tbl>
            <w:tblPr>
              <w:tblW w:w="9354" w:type="dxa"/>
              <w:tblInd w:w="6" w:type="dxa"/>
              <w:tblCellMar>
                <w:left w:w="10" w:type="dxa"/>
                <w:bottom w:w="288" w:type="dxa"/>
                <w:right w:w="10" w:type="dxa"/>
              </w:tblCellMar>
              <w:tblLook w:val="01E0" w:firstRow="1" w:lastRow="1" w:firstColumn="1" w:lastColumn="1" w:noHBand="0" w:noVBand="0"/>
            </w:tblPr>
            <w:tblGrid>
              <w:gridCol w:w="4680"/>
              <w:gridCol w:w="4674"/>
            </w:tblGrid>
            <w:tr w:rsidR="00802D83" w:rsidTr="00323117">
              <w:trPr>
                <w:cantSplit/>
                <w:tblHeader/>
              </w:trPr>
              <w:tc>
                <w:tcPr>
                  <w:tcW w:w="4680" w:type="dxa"/>
                  <w:tcMar>
                    <w:bottom w:w="188" w:type="dxa"/>
                  </w:tcMar>
                </w:tcPr>
                <w:p w:rsidR="00593D17" w:rsidRDefault="00885272" w:rsidP="00711818">
                  <w:pPr>
                    <w:jc w:val="center"/>
                  </w:pPr>
                  <w:r>
                    <w:lastRenderedPageBreak/>
                    <w:t>INTRODUCED</w:t>
                  </w:r>
                </w:p>
              </w:tc>
              <w:tc>
                <w:tcPr>
                  <w:tcW w:w="4674" w:type="dxa"/>
                  <w:tcMar>
                    <w:bottom w:w="188" w:type="dxa"/>
                  </w:tcMar>
                </w:tcPr>
                <w:p w:rsidR="00593D17" w:rsidRDefault="00885272" w:rsidP="00711818">
                  <w:pPr>
                    <w:jc w:val="center"/>
                  </w:pPr>
                  <w:r>
                    <w:t>HOUSE COMMITTEE SUBSTITUTE</w:t>
                  </w:r>
                </w:p>
              </w:tc>
            </w:tr>
            <w:tr w:rsidR="00802D83" w:rsidTr="00323117">
              <w:tc>
                <w:tcPr>
                  <w:tcW w:w="4680" w:type="dxa"/>
                  <w:tcMar>
                    <w:right w:w="360" w:type="dxa"/>
                  </w:tcMar>
                </w:tcPr>
                <w:p w:rsidR="00593D17" w:rsidRDefault="00885272" w:rsidP="00711818">
                  <w:pPr>
                    <w:jc w:val="both"/>
                  </w:pPr>
                  <w:r>
                    <w:t>SECTION 1.  Section 150.002, Civil Practice &amp; Remedies Code, is amended to read as follows:</w:t>
                  </w:r>
                </w:p>
                <w:p w:rsidR="00593D17" w:rsidRDefault="00885272" w:rsidP="00711818">
                  <w:pPr>
                    <w:jc w:val="both"/>
                  </w:pPr>
                  <w:r>
                    <w:t xml:space="preserve">(a)  In any action or arbitration proceeding for damages arising out of the </w:t>
                  </w:r>
                  <w:r>
                    <w:t>provision of professional services by a licensed or registered professional, the plaintiff shall be required to file with the complaint an affidavit of a third-party licensed architect, licensed professional engineer, registered landscape architect, or reg</w:t>
                  </w:r>
                  <w:r>
                    <w:t>istered land surveyor who:</w:t>
                  </w:r>
                </w:p>
                <w:p w:rsidR="00593D17" w:rsidRDefault="00885272" w:rsidP="00711818">
                  <w:pPr>
                    <w:jc w:val="both"/>
                  </w:pPr>
                  <w:r>
                    <w:t>(1)  Is competent to testify;</w:t>
                  </w:r>
                </w:p>
                <w:p w:rsidR="00593D17" w:rsidRDefault="00885272" w:rsidP="00711818">
                  <w:pPr>
                    <w:jc w:val="both"/>
                  </w:pPr>
                  <w:r>
                    <w:t>(2)  Holds the same professional license or registration as the defendant; and</w:t>
                  </w:r>
                </w:p>
                <w:p w:rsidR="00593D17" w:rsidRDefault="00885272" w:rsidP="00711818">
                  <w:pPr>
                    <w:jc w:val="both"/>
                  </w:pPr>
                  <w:r>
                    <w:t>(3)  Is knowledgeable in the area of practice of the defendant and offers testimony based on the person's:</w:t>
                  </w:r>
                </w:p>
                <w:p w:rsidR="00593D17" w:rsidRDefault="00885272" w:rsidP="00711818">
                  <w:pPr>
                    <w:jc w:val="both"/>
                  </w:pPr>
                  <w:r>
                    <w:t>(A)  Knowledg</w:t>
                  </w:r>
                  <w:r>
                    <w:t>e;</w:t>
                  </w:r>
                </w:p>
                <w:p w:rsidR="00593D17" w:rsidRDefault="00885272" w:rsidP="00711818">
                  <w:pPr>
                    <w:jc w:val="both"/>
                  </w:pPr>
                  <w:r>
                    <w:t>(B)  Skill;</w:t>
                  </w:r>
                </w:p>
                <w:p w:rsidR="00593D17" w:rsidRDefault="00885272" w:rsidP="00711818">
                  <w:pPr>
                    <w:jc w:val="both"/>
                  </w:pPr>
                  <w:r>
                    <w:t>(C)  Experience</w:t>
                  </w:r>
                </w:p>
                <w:p w:rsidR="00593D17" w:rsidRDefault="00885272" w:rsidP="00711818">
                  <w:pPr>
                    <w:jc w:val="both"/>
                  </w:pPr>
                  <w:r>
                    <w:t>(D)  Education</w:t>
                  </w:r>
                </w:p>
                <w:p w:rsidR="00593D17" w:rsidRDefault="00885272" w:rsidP="00711818">
                  <w:pPr>
                    <w:jc w:val="both"/>
                  </w:pPr>
                  <w:r>
                    <w:t>(E)  Training; and</w:t>
                  </w:r>
                </w:p>
                <w:p w:rsidR="00593D17" w:rsidRDefault="00885272" w:rsidP="00711818">
                  <w:pPr>
                    <w:jc w:val="both"/>
                  </w:pPr>
                  <w:r>
                    <w:t>(F)  Practice.</w:t>
                  </w:r>
                </w:p>
                <w:p w:rsidR="00593D17" w:rsidRDefault="00885272" w:rsidP="00711818">
                  <w:pPr>
                    <w:jc w:val="both"/>
                  </w:pPr>
                  <w:r>
                    <w:t xml:space="preserve">(b)  The affidavit shall set forth specifically for each theory of recovery for which damages are sought, the negligence, if any, or other action, error, or omission of the </w:t>
                  </w:r>
                  <w:r>
                    <w:t xml:space="preserve">licensed or registered professional in providing the professional service, including any error, or omission in providing advice, judgment, opinion, or a similar professional skill claimed to exist and the factual basis for each such claim. The third-party </w:t>
                  </w:r>
                  <w:r>
                    <w:t>licensed architect, licensed professional engineer, registered landscape architect, or registered professional land surveyor shall be licensed or registered in this state and actively engaged in the practice of architecture, engineering, or surveying.</w:t>
                  </w:r>
                </w:p>
                <w:p w:rsidR="00593D17" w:rsidRDefault="00885272" w:rsidP="00711818">
                  <w:pPr>
                    <w:jc w:val="both"/>
                  </w:pPr>
                  <w:r>
                    <w:rPr>
                      <w:u w:val="single"/>
                    </w:rPr>
                    <w:t>(b-1</w:t>
                  </w:r>
                  <w:r>
                    <w:rPr>
                      <w:u w:val="single"/>
                    </w:rPr>
                    <w:t xml:space="preserve">)  The affidavit shall set forth specifically facts  sufficient to establish the affiant's familiarity or experience  with the practice area </w:t>
                  </w:r>
                  <w:r w:rsidRPr="00323117">
                    <w:rPr>
                      <w:highlight w:val="lightGray"/>
                      <w:u w:val="single"/>
                    </w:rPr>
                    <w:t>at issue</w:t>
                  </w:r>
                  <w:r>
                    <w:rPr>
                      <w:u w:val="single"/>
                    </w:rPr>
                    <w:t xml:space="preserve"> such that </w:t>
                  </w:r>
                  <w:r w:rsidRPr="00323117">
                    <w:rPr>
                      <w:highlight w:val="lightGray"/>
                      <w:u w:val="single"/>
                    </w:rPr>
                    <w:t>they establish</w:t>
                  </w:r>
                  <w:r>
                    <w:rPr>
                      <w:u w:val="single"/>
                    </w:rPr>
                    <w:t xml:space="preserve"> the  affiant's qualifications to render an opinion on the matters in the affidavi</w:t>
                  </w:r>
                  <w:r>
                    <w:rPr>
                      <w:u w:val="single"/>
                    </w:rPr>
                    <w:t xml:space="preserve">t </w:t>
                  </w:r>
                  <w:r w:rsidRPr="00323117">
                    <w:rPr>
                      <w:highlight w:val="lightGray"/>
                      <w:u w:val="single"/>
                    </w:rPr>
                    <w:t>pertaining to</w:t>
                  </w:r>
                  <w:r>
                    <w:rPr>
                      <w:u w:val="single"/>
                    </w:rPr>
                    <w:t xml:space="preserve"> subsection (b). The affiant </w:t>
                  </w:r>
                  <w:r w:rsidRPr="00BC515B">
                    <w:rPr>
                      <w:u w:val="single"/>
                    </w:rPr>
                    <w:t>shall</w:t>
                  </w:r>
                  <w:r>
                    <w:rPr>
                      <w:u w:val="single"/>
                    </w:rPr>
                    <w:t xml:space="preserve"> attach to the affidavit as an exhibit the affiant's curriculum vitae or similar document sufficient to establish that the affiant meets the requirements of subsection (a).</w:t>
                  </w:r>
                </w:p>
              </w:tc>
              <w:tc>
                <w:tcPr>
                  <w:tcW w:w="4674" w:type="dxa"/>
                  <w:tcMar>
                    <w:left w:w="360" w:type="dxa"/>
                  </w:tcMar>
                </w:tcPr>
                <w:p w:rsidR="00593D17" w:rsidRDefault="00885272" w:rsidP="00711818">
                  <w:pPr>
                    <w:jc w:val="both"/>
                  </w:pPr>
                  <w:r>
                    <w:t>SECTION 1.  Section 150.002, Civil</w:t>
                  </w:r>
                  <w:r>
                    <w:t xml:space="preserve"> Practice and Remedies Code, is amended by adding Subsection (b-1) to read as follows:</w:t>
                  </w: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EF5AD6" w:rsidRDefault="00885272" w:rsidP="00711818">
                  <w:pPr>
                    <w:jc w:val="both"/>
                  </w:pPr>
                </w:p>
                <w:p w:rsidR="00593D17" w:rsidRDefault="00885272" w:rsidP="00711818">
                  <w:pPr>
                    <w:jc w:val="both"/>
                  </w:pPr>
                  <w:r>
                    <w:rPr>
                      <w:u w:val="single"/>
                    </w:rPr>
                    <w:t xml:space="preserve">(b-1)  The affidavit shall set forth specifically facts sufficient to establish the affiant's familiarity or experience with the </w:t>
                  </w:r>
                  <w:r w:rsidRPr="00323117">
                    <w:rPr>
                      <w:highlight w:val="lightGray"/>
                      <w:u w:val="single"/>
                    </w:rPr>
                    <w:t>relevant</w:t>
                  </w:r>
                  <w:r>
                    <w:rPr>
                      <w:u w:val="single"/>
                    </w:rPr>
                    <w:t xml:space="preserve"> practice area such that the affiant's qualifications to render an opinion on the matters set forth in the affidavit </w:t>
                  </w:r>
                  <w:r w:rsidRPr="00323117">
                    <w:rPr>
                      <w:highlight w:val="lightGray"/>
                      <w:u w:val="single"/>
                    </w:rPr>
                    <w:t>for purposes of</w:t>
                  </w:r>
                  <w:r>
                    <w:rPr>
                      <w:u w:val="single"/>
                    </w:rPr>
                    <w:t xml:space="preserve"> Subsection (b) </w:t>
                  </w:r>
                  <w:r w:rsidRPr="00323117">
                    <w:rPr>
                      <w:highlight w:val="lightGray"/>
                      <w:u w:val="single"/>
                    </w:rPr>
                    <w:t>are established</w:t>
                  </w:r>
                  <w:r>
                    <w:rPr>
                      <w:u w:val="single"/>
                    </w:rPr>
                    <w:t xml:space="preserve">.  The affiant </w:t>
                  </w:r>
                  <w:r w:rsidRPr="00BC515B">
                    <w:rPr>
                      <w:u w:val="single"/>
                    </w:rPr>
                    <w:t>must</w:t>
                  </w:r>
                  <w:r w:rsidRPr="007E1411">
                    <w:rPr>
                      <w:u w:val="single"/>
                    </w:rPr>
                    <w:t xml:space="preserve"> attach</w:t>
                  </w:r>
                  <w:r>
                    <w:rPr>
                      <w:u w:val="single"/>
                    </w:rPr>
                    <w:t xml:space="preserve"> to the affidavit as an exhibit the affiant's curriculum vi</w:t>
                  </w:r>
                  <w:r>
                    <w:rPr>
                      <w:u w:val="single"/>
                    </w:rPr>
                    <w:t xml:space="preserve">tae or </w:t>
                  </w:r>
                  <w:r w:rsidRPr="00B37DF1">
                    <w:rPr>
                      <w:u w:val="single"/>
                    </w:rPr>
                    <w:t>a</w:t>
                  </w:r>
                  <w:r>
                    <w:rPr>
                      <w:u w:val="single"/>
                    </w:rPr>
                    <w:t xml:space="preserve"> similar document sufficient to establish that the affiant meets the requirements of Subsection (a).</w:t>
                  </w:r>
                </w:p>
              </w:tc>
            </w:tr>
            <w:tr w:rsidR="00802D83" w:rsidTr="00323117">
              <w:tc>
                <w:tcPr>
                  <w:tcW w:w="4680" w:type="dxa"/>
                  <w:tcMar>
                    <w:right w:w="360" w:type="dxa"/>
                  </w:tcMar>
                </w:tcPr>
                <w:p w:rsidR="00593D17" w:rsidRDefault="00885272" w:rsidP="00711818">
                  <w:pPr>
                    <w:jc w:val="both"/>
                  </w:pPr>
                  <w:r>
                    <w:t>SECTION 2.  The change in law made by this Act applies only to an action commenced on or after the effective date of this Act. An action commenced</w:t>
                  </w:r>
                  <w:r>
                    <w:t xml:space="preserve"> before the effective date of this Act is governed by the law </w:t>
                  </w:r>
                  <w:r w:rsidRPr="00323117">
                    <w:rPr>
                      <w:highlight w:val="lightGray"/>
                    </w:rPr>
                    <w:t>in effect</w:t>
                  </w:r>
                  <w:r>
                    <w:t xml:space="preserve"> immediately before the effective date of this Act, and that law is continued in effect for that purpose.</w:t>
                  </w:r>
                </w:p>
              </w:tc>
              <w:tc>
                <w:tcPr>
                  <w:tcW w:w="4674" w:type="dxa"/>
                  <w:tcMar>
                    <w:left w:w="360" w:type="dxa"/>
                  </w:tcMar>
                </w:tcPr>
                <w:p w:rsidR="00593D17" w:rsidRDefault="00885272" w:rsidP="00711818">
                  <w:pPr>
                    <w:jc w:val="both"/>
                  </w:pPr>
                  <w:r>
                    <w:t xml:space="preserve">SECTION 2.  The change in law made by this Act applies only to an action commenced on or after the effective date of this Act.  An action commenced before the effective date of this Act is governed by the law </w:t>
                  </w:r>
                  <w:r w:rsidRPr="00323117">
                    <w:rPr>
                      <w:highlight w:val="lightGray"/>
                    </w:rPr>
                    <w:t>as it existed</w:t>
                  </w:r>
                  <w:r>
                    <w:t xml:space="preserve"> immediately before the effective </w:t>
                  </w:r>
                  <w:r>
                    <w:t>date of this Act, and that law is continued in effect for that purpose.</w:t>
                  </w:r>
                </w:p>
              </w:tc>
            </w:tr>
            <w:tr w:rsidR="00802D83" w:rsidTr="00323117">
              <w:tc>
                <w:tcPr>
                  <w:tcW w:w="4680" w:type="dxa"/>
                  <w:tcMar>
                    <w:right w:w="360" w:type="dxa"/>
                  </w:tcMar>
                </w:tcPr>
                <w:p w:rsidR="00593D17" w:rsidRDefault="00885272" w:rsidP="00711818">
                  <w:pPr>
                    <w:jc w:val="both"/>
                  </w:pPr>
                  <w:r>
                    <w:t>SECTION 3.  This Act takes effect immediately if it receives a vote of two-thirds of all the members elected to each house, as provided by Section 39, Article III, Texas Constitution.</w:t>
                  </w:r>
                  <w:r>
                    <w:t xml:space="preserve"> If this Act does not receive the vote necessary for immediate effect, this Act takes effect September 1, 2017.</w:t>
                  </w:r>
                </w:p>
              </w:tc>
              <w:tc>
                <w:tcPr>
                  <w:tcW w:w="4674" w:type="dxa"/>
                  <w:tcMar>
                    <w:left w:w="360" w:type="dxa"/>
                  </w:tcMar>
                </w:tcPr>
                <w:p w:rsidR="00593D17" w:rsidRDefault="00885272" w:rsidP="00711818">
                  <w:pPr>
                    <w:jc w:val="both"/>
                  </w:pPr>
                  <w:r>
                    <w:t>SECTION 3. Same as introduced version.</w:t>
                  </w:r>
                </w:p>
                <w:p w:rsidR="00593D17" w:rsidRDefault="00885272" w:rsidP="00711818">
                  <w:pPr>
                    <w:jc w:val="both"/>
                  </w:pPr>
                </w:p>
                <w:p w:rsidR="00593D17" w:rsidRDefault="00885272" w:rsidP="00711818">
                  <w:pPr>
                    <w:jc w:val="both"/>
                  </w:pPr>
                </w:p>
              </w:tc>
            </w:tr>
          </w:tbl>
          <w:p w:rsidR="00593D17" w:rsidRDefault="00885272" w:rsidP="00711818"/>
          <w:p w:rsidR="00E72978" w:rsidRPr="009C1E9A" w:rsidRDefault="00885272" w:rsidP="00711818">
            <w:pPr>
              <w:rPr>
                <w:b/>
                <w:u w:val="single"/>
              </w:rPr>
            </w:pPr>
          </w:p>
        </w:tc>
      </w:tr>
      <w:tr w:rsidR="00802D83" w:rsidTr="00323117">
        <w:tc>
          <w:tcPr>
            <w:tcW w:w="9582" w:type="dxa"/>
          </w:tcPr>
          <w:p w:rsidR="00593D17" w:rsidRPr="00E72978" w:rsidRDefault="00885272" w:rsidP="00711818">
            <w:pPr>
              <w:jc w:val="both"/>
            </w:pPr>
          </w:p>
        </w:tc>
      </w:tr>
      <w:tr w:rsidR="00802D83" w:rsidTr="00323117">
        <w:tc>
          <w:tcPr>
            <w:tcW w:w="9582" w:type="dxa"/>
          </w:tcPr>
          <w:p w:rsidR="00593D17" w:rsidRPr="00E72978" w:rsidRDefault="00885272" w:rsidP="00711818">
            <w:pPr>
              <w:jc w:val="both"/>
            </w:pPr>
          </w:p>
        </w:tc>
      </w:tr>
      <w:tr w:rsidR="00802D83" w:rsidTr="00323117">
        <w:tc>
          <w:tcPr>
            <w:tcW w:w="9582" w:type="dxa"/>
          </w:tcPr>
          <w:p w:rsidR="00593D17" w:rsidRPr="00E72978" w:rsidRDefault="00885272" w:rsidP="00711818">
            <w:pPr>
              <w:jc w:val="both"/>
            </w:pPr>
          </w:p>
        </w:tc>
      </w:tr>
    </w:tbl>
    <w:p w:rsidR="008423E4" w:rsidRPr="00BE0E75" w:rsidRDefault="00885272" w:rsidP="008423E4">
      <w:pPr>
        <w:spacing w:line="480" w:lineRule="auto"/>
        <w:jc w:val="both"/>
        <w:rPr>
          <w:rFonts w:ascii="Arial" w:hAnsi="Arial"/>
          <w:sz w:val="16"/>
          <w:szCs w:val="16"/>
        </w:rPr>
      </w:pPr>
    </w:p>
    <w:p w:rsidR="004108C3" w:rsidRPr="008423E4" w:rsidRDefault="0088527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272">
      <w:r>
        <w:separator/>
      </w:r>
    </w:p>
  </w:endnote>
  <w:endnote w:type="continuationSeparator" w:id="0">
    <w:p w:rsidR="00000000" w:rsidRDefault="0088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45" w:rsidRDefault="00885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02D83" w:rsidTr="009C1E9A">
      <w:trPr>
        <w:cantSplit/>
      </w:trPr>
      <w:tc>
        <w:tcPr>
          <w:tcW w:w="0" w:type="pct"/>
        </w:tcPr>
        <w:p w:rsidR="00137D90" w:rsidRDefault="00885272" w:rsidP="009C1E9A">
          <w:pPr>
            <w:pStyle w:val="Footer"/>
            <w:tabs>
              <w:tab w:val="clear" w:pos="8640"/>
              <w:tab w:val="right" w:pos="9360"/>
            </w:tabs>
          </w:pPr>
        </w:p>
      </w:tc>
      <w:tc>
        <w:tcPr>
          <w:tcW w:w="2395" w:type="pct"/>
        </w:tcPr>
        <w:p w:rsidR="00137D90" w:rsidRDefault="00885272" w:rsidP="009C1E9A">
          <w:pPr>
            <w:pStyle w:val="Footer"/>
            <w:tabs>
              <w:tab w:val="clear" w:pos="8640"/>
              <w:tab w:val="right" w:pos="9360"/>
            </w:tabs>
          </w:pPr>
        </w:p>
        <w:p w:rsidR="001A4310" w:rsidRDefault="00885272" w:rsidP="009C1E9A">
          <w:pPr>
            <w:pStyle w:val="Footer"/>
            <w:tabs>
              <w:tab w:val="clear" w:pos="8640"/>
              <w:tab w:val="right" w:pos="9360"/>
            </w:tabs>
          </w:pPr>
        </w:p>
        <w:p w:rsidR="00137D90" w:rsidRDefault="00885272" w:rsidP="009C1E9A">
          <w:pPr>
            <w:pStyle w:val="Footer"/>
            <w:tabs>
              <w:tab w:val="clear" w:pos="8640"/>
              <w:tab w:val="right" w:pos="9360"/>
            </w:tabs>
          </w:pPr>
        </w:p>
      </w:tc>
      <w:tc>
        <w:tcPr>
          <w:tcW w:w="2453" w:type="pct"/>
        </w:tcPr>
        <w:p w:rsidR="00137D90" w:rsidRDefault="00885272" w:rsidP="009C1E9A">
          <w:pPr>
            <w:pStyle w:val="Footer"/>
            <w:tabs>
              <w:tab w:val="clear" w:pos="8640"/>
              <w:tab w:val="right" w:pos="9360"/>
            </w:tabs>
            <w:jc w:val="right"/>
          </w:pPr>
        </w:p>
      </w:tc>
    </w:tr>
    <w:tr w:rsidR="00802D83" w:rsidTr="009C1E9A">
      <w:trPr>
        <w:cantSplit/>
      </w:trPr>
      <w:tc>
        <w:tcPr>
          <w:tcW w:w="0" w:type="pct"/>
        </w:tcPr>
        <w:p w:rsidR="00EC379B" w:rsidRDefault="00885272" w:rsidP="009C1E9A">
          <w:pPr>
            <w:pStyle w:val="Footer"/>
            <w:tabs>
              <w:tab w:val="clear" w:pos="8640"/>
              <w:tab w:val="right" w:pos="9360"/>
            </w:tabs>
          </w:pPr>
        </w:p>
      </w:tc>
      <w:tc>
        <w:tcPr>
          <w:tcW w:w="2395" w:type="pct"/>
        </w:tcPr>
        <w:p w:rsidR="00EC379B" w:rsidRPr="009C1E9A" w:rsidRDefault="00885272" w:rsidP="00593D17">
          <w:pPr>
            <w:pStyle w:val="Footer"/>
            <w:tabs>
              <w:tab w:val="clear" w:pos="8640"/>
              <w:tab w:val="right" w:pos="9360"/>
            </w:tabs>
            <w:rPr>
              <w:rFonts w:ascii="Shruti" w:hAnsi="Shruti"/>
              <w:sz w:val="22"/>
            </w:rPr>
          </w:pPr>
          <w:r>
            <w:rPr>
              <w:rFonts w:ascii="Shruti" w:hAnsi="Shruti"/>
              <w:sz w:val="22"/>
            </w:rPr>
            <w:t>85R 23236</w:t>
          </w:r>
        </w:p>
      </w:tc>
      <w:tc>
        <w:tcPr>
          <w:tcW w:w="2453" w:type="pct"/>
        </w:tcPr>
        <w:p w:rsidR="00EC379B" w:rsidRDefault="00885272" w:rsidP="009C1E9A">
          <w:pPr>
            <w:pStyle w:val="Footer"/>
            <w:tabs>
              <w:tab w:val="clear" w:pos="8640"/>
              <w:tab w:val="right" w:pos="9360"/>
            </w:tabs>
            <w:jc w:val="right"/>
          </w:pPr>
          <w:r>
            <w:fldChar w:fldCharType="begin"/>
          </w:r>
          <w:r>
            <w:instrText xml:space="preserve"> DOCPROPERTY  OTID  \* MERGEFORMAT </w:instrText>
          </w:r>
          <w:r>
            <w:fldChar w:fldCharType="separate"/>
          </w:r>
          <w:r>
            <w:t>17.107.331</w:t>
          </w:r>
          <w:r>
            <w:fldChar w:fldCharType="end"/>
          </w:r>
        </w:p>
      </w:tc>
    </w:tr>
    <w:tr w:rsidR="00802D83" w:rsidTr="009C1E9A">
      <w:trPr>
        <w:cantSplit/>
      </w:trPr>
      <w:tc>
        <w:tcPr>
          <w:tcW w:w="0" w:type="pct"/>
        </w:tcPr>
        <w:p w:rsidR="00EC379B" w:rsidRDefault="00885272" w:rsidP="009C1E9A">
          <w:pPr>
            <w:pStyle w:val="Footer"/>
            <w:tabs>
              <w:tab w:val="clear" w:pos="4320"/>
              <w:tab w:val="clear" w:pos="8640"/>
              <w:tab w:val="left" w:pos="2865"/>
            </w:tabs>
          </w:pPr>
        </w:p>
      </w:tc>
      <w:tc>
        <w:tcPr>
          <w:tcW w:w="2395" w:type="pct"/>
        </w:tcPr>
        <w:p w:rsidR="00EC379B" w:rsidRPr="009C1E9A" w:rsidRDefault="00885272" w:rsidP="00593D17">
          <w:pPr>
            <w:pStyle w:val="Footer"/>
            <w:tabs>
              <w:tab w:val="clear" w:pos="4320"/>
              <w:tab w:val="clear" w:pos="8640"/>
              <w:tab w:val="left" w:pos="2865"/>
            </w:tabs>
            <w:rPr>
              <w:rFonts w:ascii="Shruti" w:hAnsi="Shruti"/>
              <w:sz w:val="22"/>
            </w:rPr>
          </w:pPr>
          <w:r>
            <w:rPr>
              <w:rFonts w:ascii="Shruti" w:hAnsi="Shruti"/>
              <w:sz w:val="22"/>
            </w:rPr>
            <w:t>Substitute Document Number: 85R 14149</w:t>
          </w:r>
        </w:p>
      </w:tc>
      <w:tc>
        <w:tcPr>
          <w:tcW w:w="2453" w:type="pct"/>
        </w:tcPr>
        <w:p w:rsidR="00EC379B" w:rsidRDefault="00885272" w:rsidP="006D504F">
          <w:pPr>
            <w:pStyle w:val="Footer"/>
            <w:rPr>
              <w:rStyle w:val="PageNumber"/>
            </w:rPr>
          </w:pPr>
        </w:p>
        <w:p w:rsidR="00EC379B" w:rsidRDefault="00885272" w:rsidP="009C1E9A">
          <w:pPr>
            <w:pStyle w:val="Footer"/>
            <w:tabs>
              <w:tab w:val="clear" w:pos="8640"/>
              <w:tab w:val="right" w:pos="9360"/>
            </w:tabs>
            <w:jc w:val="right"/>
          </w:pPr>
        </w:p>
      </w:tc>
    </w:tr>
    <w:tr w:rsidR="00802D83" w:rsidTr="009C1E9A">
      <w:trPr>
        <w:cantSplit/>
        <w:trHeight w:val="323"/>
      </w:trPr>
      <w:tc>
        <w:tcPr>
          <w:tcW w:w="0" w:type="pct"/>
          <w:gridSpan w:val="3"/>
        </w:tcPr>
        <w:p w:rsidR="00EC379B" w:rsidRDefault="0088527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5272" w:rsidP="009C1E9A">
          <w:pPr>
            <w:pStyle w:val="Footer"/>
            <w:tabs>
              <w:tab w:val="clear" w:pos="8640"/>
              <w:tab w:val="right" w:pos="9360"/>
            </w:tabs>
            <w:jc w:val="center"/>
          </w:pPr>
        </w:p>
      </w:tc>
    </w:tr>
  </w:tbl>
  <w:p w:rsidR="00EC379B" w:rsidRPr="00FF6F72" w:rsidRDefault="0088527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45" w:rsidRDefault="0088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272">
      <w:r>
        <w:separator/>
      </w:r>
    </w:p>
  </w:footnote>
  <w:footnote w:type="continuationSeparator" w:id="0">
    <w:p w:rsidR="00000000" w:rsidRDefault="0088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45" w:rsidRDefault="00885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45" w:rsidRDefault="00885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45" w:rsidRDefault="00885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83"/>
    <w:rsid w:val="00802D83"/>
    <w:rsid w:val="0088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6463"/>
    <w:rPr>
      <w:sz w:val="16"/>
      <w:szCs w:val="16"/>
    </w:rPr>
  </w:style>
  <w:style w:type="paragraph" w:styleId="CommentText">
    <w:name w:val="annotation text"/>
    <w:basedOn w:val="Normal"/>
    <w:link w:val="CommentTextChar"/>
    <w:rsid w:val="00776463"/>
    <w:rPr>
      <w:sz w:val="20"/>
      <w:szCs w:val="20"/>
    </w:rPr>
  </w:style>
  <w:style w:type="character" w:customStyle="1" w:styleId="CommentTextChar">
    <w:name w:val="Comment Text Char"/>
    <w:basedOn w:val="DefaultParagraphFont"/>
    <w:link w:val="CommentText"/>
    <w:rsid w:val="00776463"/>
  </w:style>
  <w:style w:type="paragraph" w:styleId="CommentSubject">
    <w:name w:val="annotation subject"/>
    <w:basedOn w:val="CommentText"/>
    <w:next w:val="CommentText"/>
    <w:link w:val="CommentSubjectChar"/>
    <w:rsid w:val="00776463"/>
    <w:rPr>
      <w:b/>
      <w:bCs/>
    </w:rPr>
  </w:style>
  <w:style w:type="character" w:customStyle="1" w:styleId="CommentSubjectChar">
    <w:name w:val="Comment Subject Char"/>
    <w:basedOn w:val="CommentTextChar"/>
    <w:link w:val="CommentSubject"/>
    <w:rsid w:val="00776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6463"/>
    <w:rPr>
      <w:sz w:val="16"/>
      <w:szCs w:val="16"/>
    </w:rPr>
  </w:style>
  <w:style w:type="paragraph" w:styleId="CommentText">
    <w:name w:val="annotation text"/>
    <w:basedOn w:val="Normal"/>
    <w:link w:val="CommentTextChar"/>
    <w:rsid w:val="00776463"/>
    <w:rPr>
      <w:sz w:val="20"/>
      <w:szCs w:val="20"/>
    </w:rPr>
  </w:style>
  <w:style w:type="character" w:customStyle="1" w:styleId="CommentTextChar">
    <w:name w:val="Comment Text Char"/>
    <w:basedOn w:val="DefaultParagraphFont"/>
    <w:link w:val="CommentText"/>
    <w:rsid w:val="00776463"/>
  </w:style>
  <w:style w:type="paragraph" w:styleId="CommentSubject">
    <w:name w:val="annotation subject"/>
    <w:basedOn w:val="CommentText"/>
    <w:next w:val="CommentText"/>
    <w:link w:val="CommentSubjectChar"/>
    <w:rsid w:val="00776463"/>
    <w:rPr>
      <w:b/>
      <w:bCs/>
    </w:rPr>
  </w:style>
  <w:style w:type="character" w:customStyle="1" w:styleId="CommentSubjectChar">
    <w:name w:val="Comment Subject Char"/>
    <w:basedOn w:val="CommentTextChar"/>
    <w:link w:val="CommentSubject"/>
    <w:rsid w:val="00776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5076</Characters>
  <Application>Microsoft Office Word</Application>
  <DocSecurity>4</DocSecurity>
  <Lines>194</Lines>
  <Paragraphs>38</Paragraphs>
  <ScaleCrop>false</ScaleCrop>
  <HeadingPairs>
    <vt:vector size="2" baseType="variant">
      <vt:variant>
        <vt:lpstr>Title</vt:lpstr>
      </vt:variant>
      <vt:variant>
        <vt:i4>1</vt:i4>
      </vt:variant>
    </vt:vector>
  </HeadingPairs>
  <TitlesOfParts>
    <vt:vector size="1" baseType="lpstr">
      <vt:lpstr>BA - HB02422 (Committee Report (Substituted))</vt:lpstr>
    </vt:vector>
  </TitlesOfParts>
  <Company>State of Texas</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23236</dc:subject>
  <dc:creator>State of Texas</dc:creator>
  <dc:description>HB 2422 by Schofield-(H)Judiciary &amp; Civil Jurisprudence (Substitute Document Number: 85R 14149)</dc:description>
  <cp:lastModifiedBy>Brianna Weis</cp:lastModifiedBy>
  <cp:revision>2</cp:revision>
  <cp:lastPrinted>2017-04-17T16:22:00Z</cp:lastPrinted>
  <dcterms:created xsi:type="dcterms:W3CDTF">2017-04-18T21:04:00Z</dcterms:created>
  <dcterms:modified xsi:type="dcterms:W3CDTF">2017-04-18T21:04:00Z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17.107.331</vt:lpwstr>
  </property>
</Properties>
</file>