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05021" w:rsidTr="00345119">
        <w:tc>
          <w:tcPr>
            <w:tcW w:w="9576" w:type="dxa"/>
            <w:noWrap/>
          </w:tcPr>
          <w:p w:rsidR="008423E4" w:rsidRPr="0022177D" w:rsidRDefault="003978AF" w:rsidP="00345119">
            <w:pPr>
              <w:pStyle w:val="Heading1"/>
            </w:pPr>
            <w:bookmarkStart w:id="0" w:name="_GoBack"/>
            <w:bookmarkEnd w:id="0"/>
            <w:r w:rsidRPr="00631897">
              <w:t>BILL ANALYSIS</w:t>
            </w:r>
          </w:p>
        </w:tc>
      </w:tr>
    </w:tbl>
    <w:p w:rsidR="008423E4" w:rsidRPr="0022177D" w:rsidRDefault="003978AF" w:rsidP="008423E4">
      <w:pPr>
        <w:jc w:val="center"/>
      </w:pPr>
    </w:p>
    <w:p w:rsidR="008423E4" w:rsidRPr="00B31F0E" w:rsidRDefault="003978AF" w:rsidP="008423E4"/>
    <w:p w:rsidR="008423E4" w:rsidRPr="00742794" w:rsidRDefault="003978AF" w:rsidP="008423E4">
      <w:pPr>
        <w:tabs>
          <w:tab w:val="right" w:pos="9360"/>
        </w:tabs>
      </w:pPr>
    </w:p>
    <w:tbl>
      <w:tblPr>
        <w:tblW w:w="0" w:type="auto"/>
        <w:tblLayout w:type="fixed"/>
        <w:tblLook w:val="01E0" w:firstRow="1" w:lastRow="1" w:firstColumn="1" w:lastColumn="1" w:noHBand="0" w:noVBand="0"/>
      </w:tblPr>
      <w:tblGrid>
        <w:gridCol w:w="9576"/>
      </w:tblGrid>
      <w:tr w:rsidR="00B05021" w:rsidTr="00345119">
        <w:tc>
          <w:tcPr>
            <w:tcW w:w="9576" w:type="dxa"/>
          </w:tcPr>
          <w:p w:rsidR="008423E4" w:rsidRPr="00861995" w:rsidRDefault="003978AF" w:rsidP="00345119">
            <w:pPr>
              <w:jc w:val="right"/>
            </w:pPr>
            <w:r>
              <w:t>H.B. 2433</w:t>
            </w:r>
          </w:p>
        </w:tc>
      </w:tr>
      <w:tr w:rsidR="00B05021" w:rsidTr="00345119">
        <w:tc>
          <w:tcPr>
            <w:tcW w:w="9576" w:type="dxa"/>
          </w:tcPr>
          <w:p w:rsidR="008423E4" w:rsidRPr="00861995" w:rsidRDefault="003978AF" w:rsidP="00450611">
            <w:pPr>
              <w:jc w:val="right"/>
            </w:pPr>
            <w:r>
              <w:t xml:space="preserve">By: </w:t>
            </w:r>
            <w:r>
              <w:t>Pickett</w:t>
            </w:r>
          </w:p>
        </w:tc>
      </w:tr>
      <w:tr w:rsidR="00B05021" w:rsidTr="00345119">
        <w:tc>
          <w:tcPr>
            <w:tcW w:w="9576" w:type="dxa"/>
          </w:tcPr>
          <w:p w:rsidR="008423E4" w:rsidRPr="00861995" w:rsidRDefault="003978AF" w:rsidP="00345119">
            <w:pPr>
              <w:jc w:val="right"/>
            </w:pPr>
            <w:r>
              <w:t>Transportation</w:t>
            </w:r>
          </w:p>
        </w:tc>
      </w:tr>
      <w:tr w:rsidR="00B05021" w:rsidTr="00345119">
        <w:tc>
          <w:tcPr>
            <w:tcW w:w="9576" w:type="dxa"/>
          </w:tcPr>
          <w:p w:rsidR="008423E4" w:rsidRDefault="003978AF" w:rsidP="00345119">
            <w:pPr>
              <w:jc w:val="right"/>
            </w:pPr>
            <w:r>
              <w:t>Committee Report (Unamended)</w:t>
            </w:r>
          </w:p>
        </w:tc>
      </w:tr>
    </w:tbl>
    <w:p w:rsidR="008423E4" w:rsidRDefault="003978AF" w:rsidP="008423E4">
      <w:pPr>
        <w:tabs>
          <w:tab w:val="right" w:pos="9360"/>
        </w:tabs>
      </w:pPr>
    </w:p>
    <w:p w:rsidR="008423E4" w:rsidRDefault="003978AF" w:rsidP="008423E4"/>
    <w:p w:rsidR="008423E4" w:rsidRDefault="003978AF" w:rsidP="008423E4"/>
    <w:tbl>
      <w:tblPr>
        <w:tblW w:w="0" w:type="auto"/>
        <w:tblCellMar>
          <w:left w:w="115" w:type="dxa"/>
          <w:right w:w="115" w:type="dxa"/>
        </w:tblCellMar>
        <w:tblLook w:val="01E0" w:firstRow="1" w:lastRow="1" w:firstColumn="1" w:lastColumn="1" w:noHBand="0" w:noVBand="0"/>
      </w:tblPr>
      <w:tblGrid>
        <w:gridCol w:w="9576"/>
      </w:tblGrid>
      <w:tr w:rsidR="00B05021" w:rsidTr="00345119">
        <w:tc>
          <w:tcPr>
            <w:tcW w:w="9576" w:type="dxa"/>
          </w:tcPr>
          <w:p w:rsidR="008423E4" w:rsidRPr="00A8133F" w:rsidRDefault="003978AF" w:rsidP="00C95848">
            <w:pPr>
              <w:rPr>
                <w:b/>
              </w:rPr>
            </w:pPr>
            <w:r w:rsidRPr="009C1E9A">
              <w:rPr>
                <w:b/>
                <w:u w:val="single"/>
              </w:rPr>
              <w:t>BACKGROUND AND PURPOSE</w:t>
            </w:r>
            <w:r>
              <w:rPr>
                <w:b/>
              </w:rPr>
              <w:t xml:space="preserve"> </w:t>
            </w:r>
          </w:p>
          <w:p w:rsidR="008423E4" w:rsidRDefault="003978AF" w:rsidP="00C95848"/>
          <w:p w:rsidR="008423E4" w:rsidRDefault="003978AF" w:rsidP="00C95848">
            <w:pPr>
              <w:pStyle w:val="Header"/>
              <w:jc w:val="both"/>
            </w:pPr>
            <w:r>
              <w:t xml:space="preserve">Interested parties contend that </w:t>
            </w:r>
            <w:r>
              <w:t xml:space="preserve">the establishment of a permanent token trailer </w:t>
            </w:r>
            <w:r>
              <w:t xml:space="preserve">registration </w:t>
            </w:r>
            <w:r>
              <w:t>in Texas</w:t>
            </w:r>
            <w:r>
              <w:t xml:space="preserve"> </w:t>
            </w:r>
            <w:r>
              <w:t xml:space="preserve">will </w:t>
            </w:r>
            <w:r>
              <w:t xml:space="preserve">increase </w:t>
            </w:r>
            <w:r>
              <w:t xml:space="preserve">the state's </w:t>
            </w:r>
            <w:r>
              <w:t>competiveness for token trailer registrations nationally</w:t>
            </w:r>
            <w:r>
              <w:t>,</w:t>
            </w:r>
            <w:r>
              <w:t xml:space="preserve"> </w:t>
            </w:r>
            <w:r>
              <w:t>while</w:t>
            </w:r>
            <w:r>
              <w:t xml:space="preserve"> </w:t>
            </w:r>
            <w:r>
              <w:t xml:space="preserve">helping to </w:t>
            </w:r>
            <w:r>
              <w:t>simplif</w:t>
            </w:r>
            <w:r>
              <w:t>y</w:t>
            </w:r>
            <w:r>
              <w:t xml:space="preserve"> the </w:t>
            </w:r>
            <w:r>
              <w:t xml:space="preserve">registration </w:t>
            </w:r>
            <w:r>
              <w:t>process</w:t>
            </w:r>
            <w:r>
              <w:t>. H.B. 2433 seeks to address this issue by revising the registration process for a token trailer</w:t>
            </w:r>
            <w:r>
              <w:t xml:space="preserve"> and providing for the issuance of a permanent licen</w:t>
            </w:r>
            <w:r>
              <w:t>se plate for such a trailer</w:t>
            </w:r>
            <w:r>
              <w:t>.</w:t>
            </w:r>
          </w:p>
          <w:p w:rsidR="008423E4" w:rsidRPr="00E26B13" w:rsidRDefault="003978AF" w:rsidP="00C95848">
            <w:pPr>
              <w:rPr>
                <w:b/>
              </w:rPr>
            </w:pPr>
          </w:p>
        </w:tc>
      </w:tr>
      <w:tr w:rsidR="00B05021" w:rsidTr="00345119">
        <w:tc>
          <w:tcPr>
            <w:tcW w:w="9576" w:type="dxa"/>
          </w:tcPr>
          <w:p w:rsidR="0017725B" w:rsidRDefault="003978AF" w:rsidP="00C95848">
            <w:pPr>
              <w:rPr>
                <w:b/>
                <w:u w:val="single"/>
              </w:rPr>
            </w:pPr>
            <w:r>
              <w:rPr>
                <w:b/>
                <w:u w:val="single"/>
              </w:rPr>
              <w:t>CRIMINAL JUSTICE IMPACT</w:t>
            </w:r>
          </w:p>
          <w:p w:rsidR="0017725B" w:rsidRDefault="003978AF" w:rsidP="00C95848">
            <w:pPr>
              <w:rPr>
                <w:b/>
                <w:u w:val="single"/>
              </w:rPr>
            </w:pPr>
          </w:p>
          <w:p w:rsidR="00ED2E20" w:rsidRPr="00ED2E20" w:rsidRDefault="003978AF" w:rsidP="00C95848">
            <w:pPr>
              <w:jc w:val="both"/>
            </w:pPr>
            <w:r>
              <w:t>It is the committee's opinion that this bill does not expressly create a criminal offense, increase the punishment for an existing criminal offense or category of offenses, or change the eligibility o</w:t>
            </w:r>
            <w:r>
              <w:t>f a person for community supervision, parole, or mandatory supervision.</w:t>
            </w:r>
          </w:p>
          <w:p w:rsidR="0017725B" w:rsidRPr="0017725B" w:rsidRDefault="003978AF" w:rsidP="00C95848">
            <w:pPr>
              <w:rPr>
                <w:b/>
                <w:u w:val="single"/>
              </w:rPr>
            </w:pPr>
          </w:p>
        </w:tc>
      </w:tr>
      <w:tr w:rsidR="00B05021" w:rsidTr="00345119">
        <w:tc>
          <w:tcPr>
            <w:tcW w:w="9576" w:type="dxa"/>
          </w:tcPr>
          <w:p w:rsidR="008423E4" w:rsidRPr="00A8133F" w:rsidRDefault="003978AF" w:rsidP="00C95848">
            <w:pPr>
              <w:rPr>
                <w:b/>
              </w:rPr>
            </w:pPr>
            <w:r w:rsidRPr="009C1E9A">
              <w:rPr>
                <w:b/>
                <w:u w:val="single"/>
              </w:rPr>
              <w:t>RULEMAKING AUTHORITY</w:t>
            </w:r>
            <w:r>
              <w:rPr>
                <w:b/>
              </w:rPr>
              <w:t xml:space="preserve"> </w:t>
            </w:r>
          </w:p>
          <w:p w:rsidR="008423E4" w:rsidRDefault="003978AF" w:rsidP="00C95848"/>
          <w:p w:rsidR="00ED2E20" w:rsidRDefault="003978AF" w:rsidP="00C95848">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3978AF" w:rsidP="00C95848">
            <w:pPr>
              <w:rPr>
                <w:b/>
              </w:rPr>
            </w:pPr>
          </w:p>
        </w:tc>
      </w:tr>
      <w:tr w:rsidR="00B05021" w:rsidTr="00345119">
        <w:tc>
          <w:tcPr>
            <w:tcW w:w="9576" w:type="dxa"/>
          </w:tcPr>
          <w:p w:rsidR="008423E4" w:rsidRPr="00A8133F" w:rsidRDefault="003978AF" w:rsidP="00C95848">
            <w:pPr>
              <w:rPr>
                <w:b/>
              </w:rPr>
            </w:pPr>
            <w:r w:rsidRPr="009C1E9A">
              <w:rPr>
                <w:b/>
                <w:u w:val="single"/>
              </w:rPr>
              <w:t>ANALYSIS</w:t>
            </w:r>
            <w:r>
              <w:rPr>
                <w:b/>
              </w:rPr>
              <w:t xml:space="preserve"> </w:t>
            </w:r>
          </w:p>
          <w:p w:rsidR="008423E4" w:rsidRDefault="003978AF" w:rsidP="00C95848"/>
          <w:p w:rsidR="008423E4" w:rsidRDefault="003978AF" w:rsidP="00C95848">
            <w:pPr>
              <w:pStyle w:val="Header"/>
              <w:tabs>
                <w:tab w:val="clear" w:pos="4320"/>
                <w:tab w:val="clear" w:pos="8640"/>
              </w:tabs>
              <w:jc w:val="both"/>
            </w:pPr>
            <w:r>
              <w:t xml:space="preserve">H.B. 2433 amends the Transportation Code to </w:t>
            </w:r>
            <w:r>
              <w:t xml:space="preserve">set the registration fee for a </w:t>
            </w:r>
            <w:r w:rsidRPr="00A34291">
              <w:t>semitrailer</w:t>
            </w:r>
            <w:r>
              <w:t xml:space="preserve"> </w:t>
            </w:r>
            <w:r>
              <w:t xml:space="preserve">used in combination with </w:t>
            </w:r>
            <w:r>
              <w:t>a certain</w:t>
            </w:r>
            <w:r>
              <w:t xml:space="preserve"> truck-tractor or commercial motor vehicle and </w:t>
            </w:r>
            <w:r w:rsidRPr="00A34291">
              <w:t>registered with a permanent license plate</w:t>
            </w:r>
            <w:r>
              <w:t xml:space="preserve"> at $80</w:t>
            </w:r>
            <w:r>
              <w:t xml:space="preserve"> and to </w:t>
            </w:r>
            <w:r>
              <w:t>requir</w:t>
            </w:r>
            <w:r>
              <w:t xml:space="preserve">e the license plate for such a semitrailer to </w:t>
            </w:r>
            <w:r w:rsidRPr="00A34291">
              <w:t>include the word "Permanent."</w:t>
            </w:r>
            <w:r>
              <w:t xml:space="preserve"> The bill </w:t>
            </w:r>
            <w:r>
              <w:t xml:space="preserve">replaces </w:t>
            </w:r>
            <w:r>
              <w:t>the authorization for the alphanumeric pattern for such a license plate to</w:t>
            </w:r>
            <w:r>
              <w:t xml:space="preserve"> remain on a token trailer </w:t>
            </w:r>
            <w:r w:rsidRPr="00565A89">
              <w:t xml:space="preserve">for as long as the </w:t>
            </w:r>
            <w:r>
              <w:t xml:space="preserve">trailer's </w:t>
            </w:r>
            <w:r w:rsidRPr="00565A89">
              <w:t xml:space="preserve">registration </w:t>
            </w:r>
            <w:r>
              <w:t>is renewed or</w:t>
            </w:r>
            <w:r w:rsidRPr="00565A89">
              <w:t xml:space="preserve"> until</w:t>
            </w:r>
            <w:r w:rsidRPr="00565A89">
              <w:t xml:space="preserve"> the trailer is removed from service or sold</w:t>
            </w:r>
            <w:r>
              <w:t xml:space="preserve"> </w:t>
            </w:r>
            <w:r>
              <w:t>with an</w:t>
            </w:r>
            <w:r>
              <w:t xml:space="preserve"> </w:t>
            </w:r>
            <w:r>
              <w:t xml:space="preserve">authorization for </w:t>
            </w:r>
            <w:r>
              <w:t xml:space="preserve">the license plate to </w:t>
            </w:r>
            <w:r w:rsidRPr="00565A89">
              <w:t xml:space="preserve">remain on </w:t>
            </w:r>
            <w:r>
              <w:t xml:space="preserve">the </w:t>
            </w:r>
            <w:r w:rsidRPr="00565A89">
              <w:t>token trailer</w:t>
            </w:r>
            <w:r>
              <w:t xml:space="preserve"> </w:t>
            </w:r>
            <w:r w:rsidRPr="00565A89">
              <w:t>until the trailer is removed from service or sold</w:t>
            </w:r>
            <w:r>
              <w:t xml:space="preserve"> and requires</w:t>
            </w:r>
            <w:r w:rsidRPr="00565A89">
              <w:t xml:space="preserve"> the</w:t>
            </w:r>
            <w:r>
              <w:t xml:space="preserve"> removal of the</w:t>
            </w:r>
            <w:r w:rsidRPr="00565A89">
              <w:t xml:space="preserve"> license plate if the </w:t>
            </w:r>
            <w:r>
              <w:t>Texas Department of Motor Vehicle</w:t>
            </w:r>
            <w:r>
              <w:t>s (TxDMV)</w:t>
            </w:r>
            <w:r w:rsidRPr="00565A89">
              <w:t xml:space="preserve"> cancels, suspends, or revokes the </w:t>
            </w:r>
            <w:r>
              <w:t xml:space="preserve">trailer's </w:t>
            </w:r>
            <w:r w:rsidRPr="00565A89">
              <w:t xml:space="preserve">registration as provided by law or </w:t>
            </w:r>
            <w:r>
              <w:t>TxDMV</w:t>
            </w:r>
            <w:r w:rsidRPr="00565A89">
              <w:t xml:space="preserve"> rule.</w:t>
            </w:r>
            <w:r>
              <w:t xml:space="preserve"> </w:t>
            </w:r>
            <w:r w:rsidRPr="00EE5F81">
              <w:t>The bill changes the type of additional fees a person may be required to pay to register a semitrailer from any applicable county fee to be credited to the</w:t>
            </w:r>
            <w:r w:rsidRPr="00EE5F81">
              <w:t xml:space="preserve"> county road and bridge fund for each year included in the registration period to any other applicable vehicle registration fee for each year the semitrailer is registered or at each registration, as applicable.</w:t>
            </w:r>
            <w:r>
              <w:t xml:space="preserve"> </w:t>
            </w:r>
            <w:r>
              <w:t xml:space="preserve">The bill </w:t>
            </w:r>
            <w:r>
              <w:t>changes</w:t>
            </w:r>
            <w:r>
              <w:t xml:space="preserve"> the </w:t>
            </w:r>
            <w:r>
              <w:t>manner in</w:t>
            </w:r>
            <w:r>
              <w:t xml:space="preserve"> which TxDMV i</w:t>
            </w:r>
            <w:r>
              <w:t xml:space="preserve">s required to issue a license plate for a token trailer registered </w:t>
            </w:r>
            <w:r>
              <w:t>as part of a</w:t>
            </w:r>
            <w:r>
              <w:t xml:space="preserve"> commercial </w:t>
            </w:r>
            <w:r>
              <w:t xml:space="preserve">vehicle </w:t>
            </w:r>
            <w:r>
              <w:t xml:space="preserve">fleet to </w:t>
            </w:r>
            <w:r>
              <w:t>reflect</w:t>
            </w:r>
            <w:r>
              <w:t xml:space="preserve"> the manner </w:t>
            </w:r>
            <w:r>
              <w:t>required</w:t>
            </w:r>
            <w:r>
              <w:t xml:space="preserve"> </w:t>
            </w:r>
            <w:r>
              <w:t>for</w:t>
            </w:r>
            <w:r>
              <w:t xml:space="preserve"> the issuance of a license plate for a </w:t>
            </w:r>
            <w:r>
              <w:t>semi</w:t>
            </w:r>
            <w:r>
              <w:t>trailer</w:t>
            </w:r>
            <w:r>
              <w:t xml:space="preserve"> </w:t>
            </w:r>
            <w:r w:rsidRPr="005F6F01">
              <w:t xml:space="preserve">used in combination with </w:t>
            </w:r>
            <w:r>
              <w:t xml:space="preserve">a </w:t>
            </w:r>
            <w:r w:rsidRPr="005F6F01">
              <w:t xml:space="preserve">certain truck-tractor or commercial </w:t>
            </w:r>
            <w:r w:rsidRPr="005F6F01">
              <w:t>motor vehicle</w:t>
            </w:r>
            <w:r>
              <w:t xml:space="preserve">.   </w:t>
            </w:r>
          </w:p>
          <w:p w:rsidR="008423E4" w:rsidRPr="00835628" w:rsidRDefault="003978AF" w:rsidP="00C95848">
            <w:pPr>
              <w:rPr>
                <w:b/>
              </w:rPr>
            </w:pPr>
          </w:p>
        </w:tc>
      </w:tr>
      <w:tr w:rsidR="00B05021" w:rsidTr="00345119">
        <w:tc>
          <w:tcPr>
            <w:tcW w:w="9576" w:type="dxa"/>
          </w:tcPr>
          <w:p w:rsidR="008423E4" w:rsidRPr="00A8133F" w:rsidRDefault="003978AF" w:rsidP="00C95848">
            <w:pPr>
              <w:rPr>
                <w:b/>
              </w:rPr>
            </w:pPr>
            <w:r w:rsidRPr="009C1E9A">
              <w:rPr>
                <w:b/>
                <w:u w:val="single"/>
              </w:rPr>
              <w:t>EFFECTIVE DATE</w:t>
            </w:r>
            <w:r>
              <w:rPr>
                <w:b/>
              </w:rPr>
              <w:t xml:space="preserve"> </w:t>
            </w:r>
          </w:p>
          <w:p w:rsidR="008423E4" w:rsidRDefault="003978AF" w:rsidP="00C95848"/>
          <w:p w:rsidR="008423E4" w:rsidRPr="003624F2" w:rsidRDefault="003978AF" w:rsidP="00C95848">
            <w:pPr>
              <w:pStyle w:val="Header"/>
              <w:tabs>
                <w:tab w:val="clear" w:pos="4320"/>
                <w:tab w:val="clear" w:pos="8640"/>
              </w:tabs>
              <w:jc w:val="both"/>
            </w:pPr>
            <w:r>
              <w:t>September 1, 2017.</w:t>
            </w:r>
          </w:p>
          <w:p w:rsidR="008423E4" w:rsidRPr="00233FDB" w:rsidRDefault="003978AF" w:rsidP="00C95848">
            <w:pPr>
              <w:rPr>
                <w:b/>
              </w:rPr>
            </w:pPr>
          </w:p>
        </w:tc>
      </w:tr>
    </w:tbl>
    <w:p w:rsidR="008423E4" w:rsidRPr="00BE0E75" w:rsidRDefault="003978AF" w:rsidP="008423E4">
      <w:pPr>
        <w:spacing w:line="480" w:lineRule="auto"/>
        <w:jc w:val="both"/>
        <w:rPr>
          <w:rFonts w:ascii="Arial" w:hAnsi="Arial"/>
          <w:sz w:val="16"/>
          <w:szCs w:val="16"/>
        </w:rPr>
      </w:pPr>
    </w:p>
    <w:p w:rsidR="004108C3" w:rsidRPr="008423E4" w:rsidRDefault="003978A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78AF">
      <w:r>
        <w:separator/>
      </w:r>
    </w:p>
  </w:endnote>
  <w:endnote w:type="continuationSeparator" w:id="0">
    <w:p w:rsidR="00000000" w:rsidRDefault="0039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20" w:rsidRDefault="00397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05021" w:rsidTr="009C1E9A">
      <w:trPr>
        <w:cantSplit/>
      </w:trPr>
      <w:tc>
        <w:tcPr>
          <w:tcW w:w="0" w:type="pct"/>
        </w:tcPr>
        <w:p w:rsidR="00137D90" w:rsidRDefault="003978AF" w:rsidP="009C1E9A">
          <w:pPr>
            <w:pStyle w:val="Footer"/>
            <w:tabs>
              <w:tab w:val="clear" w:pos="8640"/>
              <w:tab w:val="right" w:pos="9360"/>
            </w:tabs>
          </w:pPr>
        </w:p>
      </w:tc>
      <w:tc>
        <w:tcPr>
          <w:tcW w:w="2395" w:type="pct"/>
        </w:tcPr>
        <w:p w:rsidR="00137D90" w:rsidRDefault="003978AF" w:rsidP="009C1E9A">
          <w:pPr>
            <w:pStyle w:val="Footer"/>
            <w:tabs>
              <w:tab w:val="clear" w:pos="8640"/>
              <w:tab w:val="right" w:pos="9360"/>
            </w:tabs>
          </w:pPr>
        </w:p>
        <w:p w:rsidR="001A4310" w:rsidRDefault="003978AF" w:rsidP="009C1E9A">
          <w:pPr>
            <w:pStyle w:val="Footer"/>
            <w:tabs>
              <w:tab w:val="clear" w:pos="8640"/>
              <w:tab w:val="right" w:pos="9360"/>
            </w:tabs>
          </w:pPr>
        </w:p>
        <w:p w:rsidR="00137D90" w:rsidRDefault="003978AF" w:rsidP="009C1E9A">
          <w:pPr>
            <w:pStyle w:val="Footer"/>
            <w:tabs>
              <w:tab w:val="clear" w:pos="8640"/>
              <w:tab w:val="right" w:pos="9360"/>
            </w:tabs>
          </w:pPr>
        </w:p>
      </w:tc>
      <w:tc>
        <w:tcPr>
          <w:tcW w:w="2453" w:type="pct"/>
        </w:tcPr>
        <w:p w:rsidR="00137D90" w:rsidRDefault="003978AF" w:rsidP="009C1E9A">
          <w:pPr>
            <w:pStyle w:val="Footer"/>
            <w:tabs>
              <w:tab w:val="clear" w:pos="8640"/>
              <w:tab w:val="right" w:pos="9360"/>
            </w:tabs>
            <w:jc w:val="right"/>
          </w:pPr>
        </w:p>
      </w:tc>
    </w:tr>
    <w:tr w:rsidR="00B05021" w:rsidTr="009C1E9A">
      <w:trPr>
        <w:cantSplit/>
      </w:trPr>
      <w:tc>
        <w:tcPr>
          <w:tcW w:w="0" w:type="pct"/>
        </w:tcPr>
        <w:p w:rsidR="00EC379B" w:rsidRDefault="003978AF" w:rsidP="009C1E9A">
          <w:pPr>
            <w:pStyle w:val="Footer"/>
            <w:tabs>
              <w:tab w:val="clear" w:pos="8640"/>
              <w:tab w:val="right" w:pos="9360"/>
            </w:tabs>
          </w:pPr>
        </w:p>
      </w:tc>
      <w:tc>
        <w:tcPr>
          <w:tcW w:w="2395" w:type="pct"/>
        </w:tcPr>
        <w:p w:rsidR="00EC379B" w:rsidRPr="009C1E9A" w:rsidRDefault="003978AF" w:rsidP="009C1E9A">
          <w:pPr>
            <w:pStyle w:val="Footer"/>
            <w:tabs>
              <w:tab w:val="clear" w:pos="8640"/>
              <w:tab w:val="right" w:pos="9360"/>
            </w:tabs>
            <w:rPr>
              <w:rFonts w:ascii="Shruti" w:hAnsi="Shruti"/>
              <w:sz w:val="22"/>
            </w:rPr>
          </w:pPr>
          <w:r>
            <w:rPr>
              <w:rFonts w:ascii="Shruti" w:hAnsi="Shruti"/>
              <w:sz w:val="22"/>
            </w:rPr>
            <w:t>85R 23973</w:t>
          </w:r>
        </w:p>
      </w:tc>
      <w:tc>
        <w:tcPr>
          <w:tcW w:w="2453" w:type="pct"/>
        </w:tcPr>
        <w:p w:rsidR="00EC379B" w:rsidRDefault="003978AF" w:rsidP="009C1E9A">
          <w:pPr>
            <w:pStyle w:val="Footer"/>
            <w:tabs>
              <w:tab w:val="clear" w:pos="8640"/>
              <w:tab w:val="right" w:pos="9360"/>
            </w:tabs>
            <w:jc w:val="right"/>
          </w:pPr>
          <w:r>
            <w:fldChar w:fldCharType="begin"/>
          </w:r>
          <w:r>
            <w:instrText xml:space="preserve"> DOCPROPERTY  OTID  \* MERGEFORMAT </w:instrText>
          </w:r>
          <w:r>
            <w:fldChar w:fldCharType="separate"/>
          </w:r>
          <w:r>
            <w:t>17.104.287</w:t>
          </w:r>
          <w:r>
            <w:fldChar w:fldCharType="end"/>
          </w:r>
        </w:p>
      </w:tc>
    </w:tr>
    <w:tr w:rsidR="00B05021" w:rsidTr="009C1E9A">
      <w:trPr>
        <w:cantSplit/>
      </w:trPr>
      <w:tc>
        <w:tcPr>
          <w:tcW w:w="0" w:type="pct"/>
        </w:tcPr>
        <w:p w:rsidR="00EC379B" w:rsidRDefault="003978AF" w:rsidP="009C1E9A">
          <w:pPr>
            <w:pStyle w:val="Footer"/>
            <w:tabs>
              <w:tab w:val="clear" w:pos="4320"/>
              <w:tab w:val="clear" w:pos="8640"/>
              <w:tab w:val="left" w:pos="2865"/>
            </w:tabs>
          </w:pPr>
        </w:p>
      </w:tc>
      <w:tc>
        <w:tcPr>
          <w:tcW w:w="2395" w:type="pct"/>
        </w:tcPr>
        <w:p w:rsidR="00EC379B" w:rsidRPr="009C1E9A" w:rsidRDefault="003978AF" w:rsidP="009C1E9A">
          <w:pPr>
            <w:pStyle w:val="Footer"/>
            <w:tabs>
              <w:tab w:val="clear" w:pos="4320"/>
              <w:tab w:val="clear" w:pos="8640"/>
              <w:tab w:val="left" w:pos="2865"/>
            </w:tabs>
            <w:rPr>
              <w:rFonts w:ascii="Shruti" w:hAnsi="Shruti"/>
              <w:sz w:val="22"/>
            </w:rPr>
          </w:pPr>
        </w:p>
      </w:tc>
      <w:tc>
        <w:tcPr>
          <w:tcW w:w="2453" w:type="pct"/>
        </w:tcPr>
        <w:p w:rsidR="00EC379B" w:rsidRDefault="003978AF" w:rsidP="006D504F">
          <w:pPr>
            <w:pStyle w:val="Footer"/>
            <w:rPr>
              <w:rStyle w:val="PageNumber"/>
            </w:rPr>
          </w:pPr>
        </w:p>
        <w:p w:rsidR="00EC379B" w:rsidRDefault="003978AF" w:rsidP="009C1E9A">
          <w:pPr>
            <w:pStyle w:val="Footer"/>
            <w:tabs>
              <w:tab w:val="clear" w:pos="8640"/>
              <w:tab w:val="right" w:pos="9360"/>
            </w:tabs>
            <w:jc w:val="right"/>
          </w:pPr>
        </w:p>
      </w:tc>
    </w:tr>
    <w:tr w:rsidR="00B05021" w:rsidTr="009C1E9A">
      <w:trPr>
        <w:cantSplit/>
        <w:trHeight w:val="323"/>
      </w:trPr>
      <w:tc>
        <w:tcPr>
          <w:tcW w:w="0" w:type="pct"/>
          <w:gridSpan w:val="3"/>
        </w:tcPr>
        <w:p w:rsidR="00EC379B" w:rsidRDefault="003978A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978AF" w:rsidP="009C1E9A">
          <w:pPr>
            <w:pStyle w:val="Footer"/>
            <w:tabs>
              <w:tab w:val="clear" w:pos="8640"/>
              <w:tab w:val="right" w:pos="9360"/>
            </w:tabs>
            <w:jc w:val="center"/>
          </w:pPr>
        </w:p>
      </w:tc>
    </w:tr>
  </w:tbl>
  <w:p w:rsidR="00EC379B" w:rsidRPr="00FF6F72" w:rsidRDefault="003978A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20" w:rsidRDefault="00397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78AF">
      <w:r>
        <w:separator/>
      </w:r>
    </w:p>
  </w:footnote>
  <w:footnote w:type="continuationSeparator" w:id="0">
    <w:p w:rsidR="00000000" w:rsidRDefault="0039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20" w:rsidRDefault="00397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20" w:rsidRDefault="00397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20" w:rsidRDefault="003978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21"/>
    <w:rsid w:val="003978AF"/>
    <w:rsid w:val="00B0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D2E20"/>
    <w:rPr>
      <w:sz w:val="16"/>
      <w:szCs w:val="16"/>
    </w:rPr>
  </w:style>
  <w:style w:type="paragraph" w:styleId="CommentText">
    <w:name w:val="annotation text"/>
    <w:basedOn w:val="Normal"/>
    <w:link w:val="CommentTextChar"/>
    <w:rsid w:val="00ED2E20"/>
    <w:rPr>
      <w:sz w:val="20"/>
      <w:szCs w:val="20"/>
    </w:rPr>
  </w:style>
  <w:style w:type="character" w:customStyle="1" w:styleId="CommentTextChar">
    <w:name w:val="Comment Text Char"/>
    <w:basedOn w:val="DefaultParagraphFont"/>
    <w:link w:val="CommentText"/>
    <w:rsid w:val="00ED2E20"/>
  </w:style>
  <w:style w:type="paragraph" w:styleId="CommentSubject">
    <w:name w:val="annotation subject"/>
    <w:basedOn w:val="CommentText"/>
    <w:next w:val="CommentText"/>
    <w:link w:val="CommentSubjectChar"/>
    <w:rsid w:val="00ED2E20"/>
    <w:rPr>
      <w:b/>
      <w:bCs/>
    </w:rPr>
  </w:style>
  <w:style w:type="character" w:customStyle="1" w:styleId="CommentSubjectChar">
    <w:name w:val="Comment Subject Char"/>
    <w:basedOn w:val="CommentTextChar"/>
    <w:link w:val="CommentSubject"/>
    <w:rsid w:val="00ED2E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D2E20"/>
    <w:rPr>
      <w:sz w:val="16"/>
      <w:szCs w:val="16"/>
    </w:rPr>
  </w:style>
  <w:style w:type="paragraph" w:styleId="CommentText">
    <w:name w:val="annotation text"/>
    <w:basedOn w:val="Normal"/>
    <w:link w:val="CommentTextChar"/>
    <w:rsid w:val="00ED2E20"/>
    <w:rPr>
      <w:sz w:val="20"/>
      <w:szCs w:val="20"/>
    </w:rPr>
  </w:style>
  <w:style w:type="character" w:customStyle="1" w:styleId="CommentTextChar">
    <w:name w:val="Comment Text Char"/>
    <w:basedOn w:val="DefaultParagraphFont"/>
    <w:link w:val="CommentText"/>
    <w:rsid w:val="00ED2E20"/>
  </w:style>
  <w:style w:type="paragraph" w:styleId="CommentSubject">
    <w:name w:val="annotation subject"/>
    <w:basedOn w:val="CommentText"/>
    <w:next w:val="CommentText"/>
    <w:link w:val="CommentSubjectChar"/>
    <w:rsid w:val="00ED2E20"/>
    <w:rPr>
      <w:b/>
      <w:bCs/>
    </w:rPr>
  </w:style>
  <w:style w:type="character" w:customStyle="1" w:styleId="CommentSubjectChar">
    <w:name w:val="Comment Subject Char"/>
    <w:basedOn w:val="CommentTextChar"/>
    <w:link w:val="CommentSubject"/>
    <w:rsid w:val="00ED2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2154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BA - HB02433 (Committee Report (Unamended))</vt:lpstr>
    </vt:vector>
  </TitlesOfParts>
  <Company>State of Texas</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23973</dc:subject>
  <dc:creator>State of Texas</dc:creator>
  <dc:description>HB 2433 by Pickett-(H)Transportation</dc:description>
  <cp:lastModifiedBy>Molly Hoffman-Bricker</cp:lastModifiedBy>
  <cp:revision>2</cp:revision>
  <cp:lastPrinted>2017-03-02T14:37:00Z</cp:lastPrinted>
  <dcterms:created xsi:type="dcterms:W3CDTF">2017-05-04T01:50:00Z</dcterms:created>
  <dcterms:modified xsi:type="dcterms:W3CDTF">2017-05-04T01:50:00Z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17.104.287</vt:lpwstr>
  </property>
</Properties>
</file>