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2730E6" w:rsidTr="00345119">
        <w:tc>
          <w:tcPr>
            <w:tcW w:w="9576" w:type="dxa"/>
            <w:noWrap/>
          </w:tcPr>
          <w:p w:rsidR="008423E4" w:rsidRPr="0022177D" w:rsidRDefault="00CF334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F3340" w:rsidP="008423E4">
      <w:pPr>
        <w:jc w:val="center"/>
      </w:pPr>
    </w:p>
    <w:p w:rsidR="008423E4" w:rsidRPr="00B31F0E" w:rsidRDefault="00CF3340" w:rsidP="008423E4"/>
    <w:p w:rsidR="008423E4" w:rsidRPr="00742794" w:rsidRDefault="00CF334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730E6" w:rsidTr="00345119">
        <w:tc>
          <w:tcPr>
            <w:tcW w:w="9576" w:type="dxa"/>
          </w:tcPr>
          <w:p w:rsidR="008423E4" w:rsidRPr="00861995" w:rsidRDefault="00CF3340" w:rsidP="00345119">
            <w:pPr>
              <w:jc w:val="right"/>
            </w:pPr>
            <w:r>
              <w:t>H.B. 2469</w:t>
            </w:r>
          </w:p>
        </w:tc>
      </w:tr>
      <w:tr w:rsidR="002730E6" w:rsidTr="00345119">
        <w:tc>
          <w:tcPr>
            <w:tcW w:w="9576" w:type="dxa"/>
          </w:tcPr>
          <w:p w:rsidR="008423E4" w:rsidRPr="00861995" w:rsidRDefault="00CF3340" w:rsidP="00DC2747">
            <w:pPr>
              <w:jc w:val="right"/>
            </w:pPr>
            <w:r>
              <w:t xml:space="preserve">By: </w:t>
            </w:r>
            <w:r>
              <w:t>Davis, Sarah</w:t>
            </w:r>
          </w:p>
        </w:tc>
      </w:tr>
      <w:tr w:rsidR="002730E6" w:rsidTr="00345119">
        <w:tc>
          <w:tcPr>
            <w:tcW w:w="9576" w:type="dxa"/>
          </w:tcPr>
          <w:p w:rsidR="008423E4" w:rsidRPr="00861995" w:rsidRDefault="00CF3340" w:rsidP="00345119">
            <w:pPr>
              <w:jc w:val="right"/>
            </w:pPr>
            <w:r>
              <w:t>Judiciary &amp; Civil Jurisprudence</w:t>
            </w:r>
          </w:p>
        </w:tc>
      </w:tr>
      <w:tr w:rsidR="002730E6" w:rsidTr="00345119">
        <w:tc>
          <w:tcPr>
            <w:tcW w:w="9576" w:type="dxa"/>
          </w:tcPr>
          <w:p w:rsidR="008423E4" w:rsidRDefault="00CF3340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F3340" w:rsidP="008423E4">
      <w:pPr>
        <w:tabs>
          <w:tab w:val="right" w:pos="9360"/>
        </w:tabs>
      </w:pPr>
    </w:p>
    <w:p w:rsidR="008423E4" w:rsidRDefault="00CF3340" w:rsidP="008423E4"/>
    <w:p w:rsidR="008423E4" w:rsidRDefault="00CF334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2730E6" w:rsidTr="00345119">
        <w:tc>
          <w:tcPr>
            <w:tcW w:w="9576" w:type="dxa"/>
          </w:tcPr>
          <w:p w:rsidR="008423E4" w:rsidRPr="00A8133F" w:rsidRDefault="00CF3340" w:rsidP="000571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F3340" w:rsidP="00057158"/>
          <w:p w:rsidR="008423E4" w:rsidRDefault="00CF3340" w:rsidP="00057158">
            <w:pPr>
              <w:pStyle w:val="Header"/>
              <w:jc w:val="both"/>
            </w:pPr>
            <w:r>
              <w:t xml:space="preserve">Informed observers raise concerns regarding the risk of losing or mishandling </w:t>
            </w:r>
            <w:r>
              <w:t xml:space="preserve">privately </w:t>
            </w:r>
            <w:r>
              <w:t xml:space="preserve">kept </w:t>
            </w:r>
            <w:r>
              <w:t xml:space="preserve">records </w:t>
            </w:r>
            <w:r>
              <w:t xml:space="preserve">pertaining to settlement agreements in certain personal </w:t>
            </w:r>
            <w:r>
              <w:t>in</w:t>
            </w:r>
            <w:r>
              <w:t>jury and wrongful death cases</w:t>
            </w:r>
            <w:r>
              <w:t>. H.B. 2469</w:t>
            </w:r>
            <w:r>
              <w:t xml:space="preserve"> seeks to address </w:t>
            </w:r>
            <w:r>
              <w:t>these concerns</w:t>
            </w:r>
            <w:r>
              <w:t xml:space="preserve"> by</w:t>
            </w:r>
            <w:r>
              <w:t xml:space="preserve"> creat</w:t>
            </w:r>
            <w:r>
              <w:t>ing</w:t>
            </w:r>
            <w:r>
              <w:t xml:space="preserve"> a </w:t>
            </w:r>
            <w:r>
              <w:t xml:space="preserve">confidential </w:t>
            </w:r>
            <w:r>
              <w:t>state</w:t>
            </w:r>
            <w:r>
              <w:t>-</w:t>
            </w:r>
            <w:r>
              <w:t xml:space="preserve">administered settlement agreement database that </w:t>
            </w:r>
            <w:r w:rsidRPr="00BD6359">
              <w:t>contains personal injury or wrongful death s</w:t>
            </w:r>
            <w:r w:rsidRPr="00BD6359">
              <w:t>ettlement agreements for which a minor or incapacitated person is the beneficiary.</w:t>
            </w:r>
          </w:p>
          <w:p w:rsidR="008423E4" w:rsidRPr="00E26B13" w:rsidRDefault="00CF3340" w:rsidP="00057158">
            <w:pPr>
              <w:rPr>
                <w:b/>
              </w:rPr>
            </w:pPr>
          </w:p>
        </w:tc>
      </w:tr>
      <w:tr w:rsidR="002730E6" w:rsidTr="00345119">
        <w:tc>
          <w:tcPr>
            <w:tcW w:w="9576" w:type="dxa"/>
          </w:tcPr>
          <w:p w:rsidR="0017725B" w:rsidRDefault="00CF3340" w:rsidP="000571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F3340" w:rsidP="00057158">
            <w:pPr>
              <w:rPr>
                <w:b/>
                <w:u w:val="single"/>
              </w:rPr>
            </w:pPr>
          </w:p>
          <w:p w:rsidR="001B4240" w:rsidRPr="001B4240" w:rsidRDefault="00CF3340" w:rsidP="00057158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CF3340" w:rsidP="00057158">
            <w:pPr>
              <w:rPr>
                <w:b/>
                <w:u w:val="single"/>
              </w:rPr>
            </w:pPr>
          </w:p>
        </w:tc>
      </w:tr>
      <w:tr w:rsidR="002730E6" w:rsidTr="00345119">
        <w:tc>
          <w:tcPr>
            <w:tcW w:w="9576" w:type="dxa"/>
          </w:tcPr>
          <w:p w:rsidR="008423E4" w:rsidRPr="00A8133F" w:rsidRDefault="00CF3340" w:rsidP="000571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F3340" w:rsidP="00057158"/>
          <w:p w:rsidR="001B4240" w:rsidRDefault="00CF3340" w:rsidP="00057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CF3340" w:rsidP="00057158">
            <w:pPr>
              <w:rPr>
                <w:b/>
              </w:rPr>
            </w:pPr>
          </w:p>
        </w:tc>
      </w:tr>
      <w:tr w:rsidR="002730E6" w:rsidTr="00345119">
        <w:tc>
          <w:tcPr>
            <w:tcW w:w="9576" w:type="dxa"/>
          </w:tcPr>
          <w:p w:rsidR="008423E4" w:rsidRPr="00A8133F" w:rsidRDefault="00CF3340" w:rsidP="000571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F3340" w:rsidP="00057158"/>
          <w:p w:rsidR="008423E4" w:rsidRDefault="00CF3340" w:rsidP="00057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2469 amends the Government Code to require the Office of Court Administration of the Texas Judicial System (OCA) to establish and maintain an electronic database that contains perso</w:t>
            </w:r>
            <w:r>
              <w:t>nal injury or wrongful death settlement agreements for which a minor or incapacitated person is the beneficiary. The bill authorizes a party to the agreement or a guardian, next friend, or guardian ad litem to record the agreement in the database</w:t>
            </w:r>
            <w:r>
              <w:t xml:space="preserve"> and</w:t>
            </w:r>
            <w:r>
              <w:t xml:space="preserve"> </w:t>
            </w:r>
            <w:r>
              <w:t>limit</w:t>
            </w:r>
            <w:r>
              <w:t xml:space="preserve">s </w:t>
            </w:r>
            <w:r>
              <w:t xml:space="preserve">to one copy </w:t>
            </w:r>
            <w:r>
              <w:t xml:space="preserve">the number of </w:t>
            </w:r>
            <w:r>
              <w:t>cop</w:t>
            </w:r>
            <w:r>
              <w:t>ies</w:t>
            </w:r>
            <w:r>
              <w:t xml:space="preserve"> of </w:t>
            </w:r>
            <w:r>
              <w:t xml:space="preserve">such </w:t>
            </w:r>
            <w:r>
              <w:t xml:space="preserve">an </w:t>
            </w:r>
            <w:r>
              <w:t xml:space="preserve">agreement </w:t>
            </w:r>
            <w:r>
              <w:t>that</w:t>
            </w:r>
            <w:r>
              <w:t xml:space="preserve"> the parties or the guardian, next friend, or guardian ad litem </w:t>
            </w:r>
            <w:r>
              <w:t xml:space="preserve">may file </w:t>
            </w:r>
            <w:r>
              <w:t xml:space="preserve">in each settlement agreement. The bill makes a settlement agreement recorded in the database </w:t>
            </w:r>
            <w:r>
              <w:t xml:space="preserve">confidential </w:t>
            </w:r>
            <w:r>
              <w:t xml:space="preserve">and requires OCA </w:t>
            </w:r>
            <w:r>
              <w:t xml:space="preserve">to ensure that </w:t>
            </w:r>
            <w:r>
              <w:t xml:space="preserve">access to </w:t>
            </w:r>
            <w:r>
              <w:t xml:space="preserve">a settlement agreement </w:t>
            </w:r>
            <w:r>
              <w:t>is limited to</w:t>
            </w:r>
            <w:r>
              <w:t xml:space="preserve"> the parties to the settlement agreement, each attorney representing </w:t>
            </w:r>
            <w:r>
              <w:t xml:space="preserve">such </w:t>
            </w:r>
            <w:r>
              <w:t xml:space="preserve">a party, </w:t>
            </w:r>
            <w:r>
              <w:t>and</w:t>
            </w:r>
            <w:r>
              <w:t xml:space="preserve"> the guardian, next friend, or guardian ad litem of </w:t>
            </w:r>
            <w:r>
              <w:t xml:space="preserve">such </w:t>
            </w:r>
            <w:r>
              <w:t xml:space="preserve">a party. The bill authorizes OCA to set and collect </w:t>
            </w:r>
            <w:r>
              <w:t>a fee</w:t>
            </w:r>
            <w:r>
              <w:t xml:space="preserve"> </w:t>
            </w:r>
            <w:r>
              <w:t xml:space="preserve">to record a settlement agreement in the database in an amount sufficient to cover the costs of maintaining the </w:t>
            </w:r>
            <w:r>
              <w:t>agreement in the database, capped at $50 for each agreement</w:t>
            </w:r>
            <w:r>
              <w:t>, and</w:t>
            </w:r>
            <w:r>
              <w:t xml:space="preserve"> establishes that such fee is a court cost to be included for payment in th</w:t>
            </w:r>
            <w:r>
              <w:t xml:space="preserve">e settlement agreement. </w:t>
            </w:r>
            <w:r>
              <w:t>The bill applies to a suit filed on behalf of a minor or incapacitated person that is pending in a trial court on the bill's effective date</w:t>
            </w:r>
            <w:r>
              <w:t xml:space="preserve"> or that is filed on or after </w:t>
            </w:r>
            <w:r>
              <w:t>that</w:t>
            </w:r>
            <w:r>
              <w:t xml:space="preserve"> date</w:t>
            </w:r>
            <w:r>
              <w:t>.</w:t>
            </w:r>
          </w:p>
          <w:p w:rsidR="008423E4" w:rsidRPr="00835628" w:rsidRDefault="00CF3340" w:rsidP="00057158">
            <w:pPr>
              <w:rPr>
                <w:b/>
              </w:rPr>
            </w:pPr>
          </w:p>
        </w:tc>
      </w:tr>
      <w:tr w:rsidR="002730E6" w:rsidTr="00345119">
        <w:tc>
          <w:tcPr>
            <w:tcW w:w="9576" w:type="dxa"/>
          </w:tcPr>
          <w:p w:rsidR="008423E4" w:rsidRPr="00A8133F" w:rsidRDefault="00CF3340" w:rsidP="000571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F3340" w:rsidP="00057158"/>
          <w:p w:rsidR="008423E4" w:rsidRPr="003624F2" w:rsidRDefault="00CF3340" w:rsidP="000571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CF3340" w:rsidP="00057158">
            <w:pPr>
              <w:rPr>
                <w:b/>
              </w:rPr>
            </w:pPr>
          </w:p>
        </w:tc>
      </w:tr>
    </w:tbl>
    <w:p w:rsidR="008423E4" w:rsidRPr="00BE0E75" w:rsidRDefault="00CF334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F334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3340">
      <w:r>
        <w:separator/>
      </w:r>
    </w:p>
  </w:endnote>
  <w:endnote w:type="continuationSeparator" w:id="0">
    <w:p w:rsidR="00000000" w:rsidRDefault="00CF3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4C" w:rsidRDefault="00CF33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730E6" w:rsidTr="009C1E9A">
      <w:trPr>
        <w:cantSplit/>
      </w:trPr>
      <w:tc>
        <w:tcPr>
          <w:tcW w:w="0" w:type="pct"/>
        </w:tcPr>
        <w:p w:rsidR="00137D90" w:rsidRDefault="00CF33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F33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F334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F33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F33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0E6" w:rsidTr="009C1E9A">
      <w:trPr>
        <w:cantSplit/>
      </w:trPr>
      <w:tc>
        <w:tcPr>
          <w:tcW w:w="0" w:type="pct"/>
        </w:tcPr>
        <w:p w:rsidR="00EC379B" w:rsidRDefault="00CF334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F334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25188</w:t>
          </w:r>
        </w:p>
      </w:tc>
      <w:tc>
        <w:tcPr>
          <w:tcW w:w="2453" w:type="pct"/>
        </w:tcPr>
        <w:p w:rsidR="00EC379B" w:rsidRDefault="00CF33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17.113.288</w:t>
          </w:r>
          <w:r>
            <w:fldChar w:fldCharType="end"/>
          </w:r>
        </w:p>
      </w:tc>
    </w:tr>
    <w:tr w:rsidR="002730E6" w:rsidTr="009C1E9A">
      <w:trPr>
        <w:cantSplit/>
      </w:trPr>
      <w:tc>
        <w:tcPr>
          <w:tcW w:w="0" w:type="pct"/>
        </w:tcPr>
        <w:p w:rsidR="00EC379B" w:rsidRDefault="00CF33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F334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F3340" w:rsidP="006D504F">
          <w:pPr>
            <w:pStyle w:val="Footer"/>
            <w:rPr>
              <w:rStyle w:val="PageNumber"/>
            </w:rPr>
          </w:pPr>
        </w:p>
        <w:p w:rsidR="00EC379B" w:rsidRDefault="00CF334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730E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F334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F334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F334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4C" w:rsidRDefault="00CF33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F3340">
      <w:r>
        <w:separator/>
      </w:r>
    </w:p>
  </w:footnote>
  <w:footnote w:type="continuationSeparator" w:id="0">
    <w:p w:rsidR="00000000" w:rsidRDefault="00CF33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4C" w:rsidRDefault="00CF33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4C" w:rsidRDefault="00CF33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4C" w:rsidRDefault="00CF33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0E6"/>
    <w:rsid w:val="002730E6"/>
    <w:rsid w:val="00CF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42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240"/>
  </w:style>
  <w:style w:type="paragraph" w:styleId="CommentSubject">
    <w:name w:val="annotation subject"/>
    <w:basedOn w:val="CommentText"/>
    <w:next w:val="CommentText"/>
    <w:link w:val="CommentSubjectChar"/>
    <w:rsid w:val="001B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1B424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2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4240"/>
  </w:style>
  <w:style w:type="paragraph" w:styleId="CommentSubject">
    <w:name w:val="annotation subject"/>
    <w:basedOn w:val="CommentText"/>
    <w:next w:val="CommentText"/>
    <w:link w:val="CommentSubjectChar"/>
    <w:rsid w:val="001B4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2105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HB02469 (Committee Report (Unamended))</vt:lpstr>
    </vt:vector>
  </TitlesOfParts>
  <Company>State of Texas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25188</dc:subject>
  <dc:creator>State of Texas</dc:creator>
  <dc:description>HB 2469 by Davis, Sarah-(H)Judiciary &amp; Civil Jurisprudence</dc:description>
  <cp:lastModifiedBy>Alexander McMillan</cp:lastModifiedBy>
  <cp:revision>2</cp:revision>
  <cp:lastPrinted>2003-11-26T17:21:00Z</cp:lastPrinted>
  <dcterms:created xsi:type="dcterms:W3CDTF">2017-04-28T23:13:00Z</dcterms:created>
  <dcterms:modified xsi:type="dcterms:W3CDTF">2017-04-28T23:13:00Z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17.113.288</vt:lpwstr>
  </property>
</Properties>
</file>