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06C78" w:rsidTr="00345119">
        <w:tc>
          <w:tcPr>
            <w:tcW w:w="9576" w:type="dxa"/>
            <w:noWrap/>
          </w:tcPr>
          <w:p w:rsidR="008423E4" w:rsidRPr="0022177D" w:rsidRDefault="006C779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779A" w:rsidP="008423E4">
      <w:pPr>
        <w:jc w:val="center"/>
      </w:pPr>
    </w:p>
    <w:p w:rsidR="008423E4" w:rsidRPr="00B31F0E" w:rsidRDefault="006C779A" w:rsidP="008423E4"/>
    <w:p w:rsidR="008423E4" w:rsidRPr="00742794" w:rsidRDefault="006C779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6C78" w:rsidTr="00345119">
        <w:tc>
          <w:tcPr>
            <w:tcW w:w="9576" w:type="dxa"/>
          </w:tcPr>
          <w:p w:rsidR="008423E4" w:rsidRPr="00861995" w:rsidRDefault="006C779A" w:rsidP="00345119">
            <w:pPr>
              <w:jc w:val="right"/>
            </w:pPr>
            <w:r>
              <w:t>C.S.H.B. 2479</w:t>
            </w:r>
          </w:p>
        </w:tc>
      </w:tr>
      <w:tr w:rsidR="00506C78" w:rsidTr="00345119">
        <w:tc>
          <w:tcPr>
            <w:tcW w:w="9576" w:type="dxa"/>
          </w:tcPr>
          <w:p w:rsidR="008423E4" w:rsidRPr="00861995" w:rsidRDefault="006C779A" w:rsidP="0094225B">
            <w:pPr>
              <w:jc w:val="right"/>
            </w:pPr>
            <w:r>
              <w:t xml:space="preserve">By: </w:t>
            </w:r>
            <w:r>
              <w:t>Bell</w:t>
            </w:r>
          </w:p>
        </w:tc>
      </w:tr>
      <w:tr w:rsidR="00506C78" w:rsidTr="00345119">
        <w:tc>
          <w:tcPr>
            <w:tcW w:w="9576" w:type="dxa"/>
          </w:tcPr>
          <w:p w:rsidR="008423E4" w:rsidRPr="00861995" w:rsidRDefault="006C779A" w:rsidP="00345119">
            <w:pPr>
              <w:jc w:val="right"/>
            </w:pPr>
            <w:r>
              <w:t>Environmental Regulation</w:t>
            </w:r>
          </w:p>
        </w:tc>
      </w:tr>
      <w:tr w:rsidR="00506C78" w:rsidTr="00345119">
        <w:tc>
          <w:tcPr>
            <w:tcW w:w="9576" w:type="dxa"/>
          </w:tcPr>
          <w:p w:rsidR="008423E4" w:rsidRDefault="006C779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C779A" w:rsidP="008423E4">
      <w:pPr>
        <w:tabs>
          <w:tab w:val="right" w:pos="9360"/>
        </w:tabs>
      </w:pPr>
    </w:p>
    <w:p w:rsidR="008423E4" w:rsidRDefault="006C779A" w:rsidP="008423E4"/>
    <w:p w:rsidR="008423E4" w:rsidRDefault="006C779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506C78" w:rsidTr="0094225B">
        <w:tc>
          <w:tcPr>
            <w:tcW w:w="9582" w:type="dxa"/>
          </w:tcPr>
          <w:p w:rsidR="008423E4" w:rsidRPr="00A8133F" w:rsidRDefault="006C779A" w:rsidP="008A39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779A" w:rsidP="008A39C1"/>
          <w:p w:rsidR="008423E4" w:rsidRDefault="006C779A" w:rsidP="008A39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legislation is needed regarding</w:t>
            </w:r>
            <w:r>
              <w:t xml:space="preserve"> the </w:t>
            </w:r>
            <w:r>
              <w:t>denial of a</w:t>
            </w:r>
            <w:r>
              <w:t xml:space="preserve"> permit</w:t>
            </w:r>
            <w:r>
              <w:t xml:space="preserve"> application for certain municipal solid waste landfills for which a previous application was </w:t>
            </w:r>
            <w:r w:rsidRPr="00C2352E">
              <w:t>returned to the applicant for containing inadequate or incomplete information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2479 </w:t>
            </w:r>
            <w:r>
              <w:t xml:space="preserve">seeks to address this issue by </w:t>
            </w:r>
            <w:r>
              <w:t>prohibiting</w:t>
            </w:r>
            <w:r>
              <w:t xml:space="preserve"> the </w:t>
            </w:r>
            <w:r w:rsidRPr="005C6894">
              <w:t>Texas Commission on En</w:t>
            </w:r>
            <w:r w:rsidRPr="005C6894">
              <w:t>vironmental Quality</w:t>
            </w:r>
            <w:r>
              <w:t xml:space="preserve"> from</w:t>
            </w:r>
            <w:r>
              <w:t xml:space="preserve"> issuing</w:t>
            </w:r>
            <w:r w:rsidRPr="005C6894">
              <w:t xml:space="preserve"> a permit for a new municipal solid waste landfill</w:t>
            </w:r>
            <w:r>
              <w:t xml:space="preserve"> under certain conditions.</w:t>
            </w:r>
            <w:r>
              <w:t xml:space="preserve"> </w:t>
            </w:r>
          </w:p>
          <w:p w:rsidR="008423E4" w:rsidRPr="00E26B13" w:rsidRDefault="006C779A" w:rsidP="008A39C1">
            <w:pPr>
              <w:rPr>
                <w:b/>
              </w:rPr>
            </w:pPr>
          </w:p>
        </w:tc>
      </w:tr>
      <w:tr w:rsidR="00506C78" w:rsidTr="0094225B">
        <w:tc>
          <w:tcPr>
            <w:tcW w:w="9582" w:type="dxa"/>
          </w:tcPr>
          <w:p w:rsidR="0017725B" w:rsidRDefault="006C779A" w:rsidP="008A3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779A" w:rsidP="008A39C1">
            <w:pPr>
              <w:rPr>
                <w:b/>
                <w:u w:val="single"/>
              </w:rPr>
            </w:pPr>
          </w:p>
          <w:p w:rsidR="000C68F7" w:rsidRPr="000C68F7" w:rsidRDefault="006C779A" w:rsidP="008A39C1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6C779A" w:rsidP="008A39C1">
            <w:pPr>
              <w:rPr>
                <w:b/>
                <w:u w:val="single"/>
              </w:rPr>
            </w:pPr>
          </w:p>
        </w:tc>
      </w:tr>
      <w:tr w:rsidR="00506C78" w:rsidTr="0094225B">
        <w:tc>
          <w:tcPr>
            <w:tcW w:w="9582" w:type="dxa"/>
          </w:tcPr>
          <w:p w:rsidR="008423E4" w:rsidRPr="00A8133F" w:rsidRDefault="006C779A" w:rsidP="008A39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779A" w:rsidP="008A39C1"/>
          <w:p w:rsidR="000C68F7" w:rsidRDefault="006C779A" w:rsidP="008A39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</w:t>
            </w:r>
            <w:r>
              <w:t>tional rulemaking authority to a state officer, department, agency, or institution.</w:t>
            </w:r>
          </w:p>
          <w:p w:rsidR="008423E4" w:rsidRPr="00E21FDC" w:rsidRDefault="006C779A" w:rsidP="008A39C1">
            <w:pPr>
              <w:rPr>
                <w:b/>
              </w:rPr>
            </w:pPr>
          </w:p>
        </w:tc>
      </w:tr>
      <w:tr w:rsidR="00506C78" w:rsidTr="0094225B">
        <w:tc>
          <w:tcPr>
            <w:tcW w:w="9582" w:type="dxa"/>
          </w:tcPr>
          <w:p w:rsidR="008423E4" w:rsidRPr="00A8133F" w:rsidRDefault="006C779A" w:rsidP="008A39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779A" w:rsidP="008A39C1"/>
          <w:p w:rsidR="008423E4" w:rsidRDefault="006C779A" w:rsidP="008A39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2479 amends the Health and Safety Code to </w:t>
            </w:r>
            <w:r>
              <w:t xml:space="preserve">prohibit </w:t>
            </w:r>
            <w:r>
              <w:t>the Texas Commission on Environmental Quality (TCEQ)</w:t>
            </w:r>
            <w:r>
              <w:t xml:space="preserve"> from issuing a permit</w:t>
            </w:r>
            <w:r>
              <w:t xml:space="preserve"> for a new municipal solid waste landfill if the proposed site is located in a county with a population of less than 70,000 and more than 40,000 that is adjacent to a county with a population of more than 3.3 million</w:t>
            </w:r>
            <w:r>
              <w:t xml:space="preserve"> and if</w:t>
            </w:r>
            <w:r>
              <w:t xml:space="preserve"> a previous application was submi</w:t>
            </w:r>
            <w:r>
              <w:t>tted to TCEQ to operate a new municipal solid waste landfill at the same proposed site</w:t>
            </w:r>
            <w:r>
              <w:t>,</w:t>
            </w:r>
            <w:r>
              <w:t xml:space="preserve"> the previous application was returned to the applicant by TCEQ for containing inadequate or incomplete information</w:t>
            </w:r>
            <w:r>
              <w:t>,</w:t>
            </w:r>
            <w:r>
              <w:t xml:space="preserve"> and the applicant for the previous application state</w:t>
            </w:r>
            <w:r>
              <w:t xml:space="preserve">d in writing that the previous application did not meet requirements established by TCEQ rules. </w:t>
            </w:r>
            <w:r w:rsidRPr="00857C9F">
              <w:t>The</w:t>
            </w:r>
            <w:r>
              <w:t xml:space="preserve"> bill</w:t>
            </w:r>
            <w:r w:rsidRPr="00857C9F">
              <w:t xml:space="preserve"> appl</w:t>
            </w:r>
            <w:r>
              <w:t>ies</w:t>
            </w:r>
            <w:r w:rsidRPr="00857C9F">
              <w:t xml:space="preserve"> only to an application for the issuance of a permit pending before </w:t>
            </w:r>
            <w:r>
              <w:t>TCEQ</w:t>
            </w:r>
            <w:r w:rsidRPr="00857C9F">
              <w:t xml:space="preserve"> on or after the </w:t>
            </w:r>
            <w:r>
              <w:t xml:space="preserve">bill's </w:t>
            </w:r>
            <w:r w:rsidRPr="00857C9F">
              <w:t>effective date.</w:t>
            </w:r>
          </w:p>
          <w:p w:rsidR="008423E4" w:rsidRPr="00835628" w:rsidRDefault="006C779A" w:rsidP="008A39C1">
            <w:pPr>
              <w:rPr>
                <w:b/>
              </w:rPr>
            </w:pPr>
          </w:p>
        </w:tc>
      </w:tr>
      <w:tr w:rsidR="00506C78" w:rsidTr="0094225B">
        <w:tc>
          <w:tcPr>
            <w:tcW w:w="9582" w:type="dxa"/>
          </w:tcPr>
          <w:p w:rsidR="008423E4" w:rsidRPr="00A8133F" w:rsidRDefault="006C779A" w:rsidP="008A39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779A" w:rsidP="008A39C1"/>
          <w:p w:rsidR="008423E4" w:rsidRPr="003624F2" w:rsidRDefault="006C779A" w:rsidP="008A39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2017.</w:t>
            </w:r>
          </w:p>
          <w:p w:rsidR="008423E4" w:rsidRPr="00233FDB" w:rsidRDefault="006C779A" w:rsidP="008A39C1">
            <w:pPr>
              <w:rPr>
                <w:b/>
              </w:rPr>
            </w:pPr>
          </w:p>
        </w:tc>
      </w:tr>
      <w:tr w:rsidR="00506C78" w:rsidTr="0094225B">
        <w:tc>
          <w:tcPr>
            <w:tcW w:w="9582" w:type="dxa"/>
          </w:tcPr>
          <w:p w:rsidR="0094225B" w:rsidRDefault="006C779A" w:rsidP="008A39C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021D6" w:rsidRDefault="006C779A" w:rsidP="008A39C1">
            <w:pPr>
              <w:jc w:val="both"/>
            </w:pPr>
          </w:p>
          <w:p w:rsidR="00B021D6" w:rsidRDefault="006C779A" w:rsidP="008A39C1">
            <w:pPr>
              <w:jc w:val="both"/>
            </w:pPr>
            <w:r>
              <w:t>While C.S.H.B. 2479 may differ from the original in minor or nonsubstantive ways, the following comparison is organized and formatted in a manner that indicates the substantial differences between the introduc</w:t>
            </w:r>
            <w:r>
              <w:t>ed and committee substitute versions of the bill.</w:t>
            </w:r>
          </w:p>
          <w:p w:rsidR="00B021D6" w:rsidRPr="007F025D" w:rsidRDefault="006C779A" w:rsidP="008A39C1">
            <w:pPr>
              <w:jc w:val="both"/>
            </w:pPr>
          </w:p>
        </w:tc>
      </w:tr>
      <w:tr w:rsidR="00506C78" w:rsidTr="0094225B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506C78" w:rsidTr="00B021D6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94225B" w:rsidRDefault="006C779A" w:rsidP="008A39C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94225B" w:rsidRDefault="006C779A" w:rsidP="008A39C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06C78" w:rsidTr="00B021D6">
              <w:tc>
                <w:tcPr>
                  <w:tcW w:w="4680" w:type="dxa"/>
                  <w:tcMar>
                    <w:right w:w="360" w:type="dxa"/>
                  </w:tcMar>
                </w:tcPr>
                <w:p w:rsidR="0094225B" w:rsidRDefault="006C779A" w:rsidP="008A39C1">
                  <w:pPr>
                    <w:jc w:val="both"/>
                  </w:pPr>
                  <w:r>
                    <w:lastRenderedPageBreak/>
                    <w:t>SECTION 1.  Subchapter C, Chapter 361, Health and Safety Code, is amended by adding Section 361.0681 to read as follows:</w:t>
                  </w:r>
                </w:p>
                <w:p w:rsidR="0094225B" w:rsidRPr="00BC27B8" w:rsidRDefault="006C779A" w:rsidP="008A39C1">
                  <w:pPr>
                    <w:jc w:val="both"/>
                  </w:pPr>
                  <w:r>
                    <w:rPr>
                      <w:u w:val="single"/>
                    </w:rPr>
                    <w:t xml:space="preserve">Sec. 361.0681.  RETURN OR DENIAL OF </w:t>
                  </w:r>
                  <w:r w:rsidRPr="00BC27B8">
                    <w:rPr>
                      <w:u w:val="single"/>
                    </w:rPr>
                    <w:t>INCOMPLETE OR INACCURATE APPLICATION.  (a)  Before the commission determines that a permit application is administratively and technically complete, the commission may return the application to an applicant if the application is incomplete or inaccurate.</w:t>
                  </w:r>
                </w:p>
                <w:p w:rsidR="0094225B" w:rsidRPr="00BC27B8" w:rsidRDefault="006C779A" w:rsidP="008A39C1">
                  <w:pPr>
                    <w:jc w:val="both"/>
                  </w:pPr>
                  <w:r w:rsidRPr="00BC27B8">
                    <w:rPr>
                      <w:u w:val="single"/>
                    </w:rPr>
                    <w:t>(</w:t>
                  </w:r>
                  <w:r w:rsidRPr="00BC27B8">
                    <w:rPr>
                      <w:u w:val="single"/>
                    </w:rPr>
                    <w:t>b)  The commission:</w:t>
                  </w:r>
                </w:p>
                <w:p w:rsidR="0094225B" w:rsidRPr="00BC27B8" w:rsidRDefault="006C779A" w:rsidP="008A39C1">
                  <w:pPr>
                    <w:jc w:val="both"/>
                  </w:pPr>
                  <w:r w:rsidRPr="00BC27B8">
                    <w:rPr>
                      <w:u w:val="single"/>
                    </w:rPr>
                    <w:t>(1)  shall deny a permit application the commission finds to be incomplete or inaccurate during technical review if the commission returned a previous version of the application to the applicant during technical review because the previ</w:t>
                  </w:r>
                  <w:r w:rsidRPr="00BC27B8">
                    <w:rPr>
                      <w:u w:val="single"/>
                    </w:rPr>
                    <w:t>ous version was incomplete or inaccurate; and</w:t>
                  </w:r>
                </w:p>
                <w:p w:rsidR="0094225B" w:rsidRDefault="006C779A" w:rsidP="008A39C1">
                  <w:pPr>
                    <w:jc w:val="both"/>
                  </w:pPr>
                  <w:r w:rsidRPr="00BC27B8">
                    <w:rPr>
                      <w:u w:val="single"/>
                    </w:rPr>
                    <w:t>(2)  may not approve a subsequent application for a solid waste facility at the site that was the subject of the denied application under Subdivision (1).</w:t>
                  </w:r>
                </w:p>
                <w:p w:rsidR="0094225B" w:rsidRDefault="006C779A" w:rsidP="008A39C1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94225B" w:rsidRDefault="006C779A" w:rsidP="008A39C1">
                  <w:pPr>
                    <w:jc w:val="both"/>
                  </w:pPr>
                  <w:r w:rsidRPr="00BC27B8">
                    <w:rPr>
                      <w:highlight w:val="lightGray"/>
                    </w:rPr>
                    <w:t>No equivalent provision.</w:t>
                  </w:r>
                  <w:r>
                    <w:t xml:space="preserve"> </w:t>
                  </w:r>
                  <w:r w:rsidRPr="00BC27B8">
                    <w:rPr>
                      <w:i/>
                    </w:rPr>
                    <w:t>(But see SECTION 1 below.)</w:t>
                  </w:r>
                </w:p>
                <w:p w:rsidR="0094225B" w:rsidRDefault="006C779A" w:rsidP="008A39C1">
                  <w:pPr>
                    <w:jc w:val="both"/>
                  </w:pPr>
                </w:p>
              </w:tc>
            </w:tr>
            <w:tr w:rsidR="00506C78" w:rsidTr="00B021D6">
              <w:tc>
                <w:tcPr>
                  <w:tcW w:w="4680" w:type="dxa"/>
                  <w:tcMar>
                    <w:right w:w="360" w:type="dxa"/>
                  </w:tcMar>
                </w:tcPr>
                <w:p w:rsidR="00BC27B8" w:rsidRDefault="006C779A" w:rsidP="008A39C1">
                  <w:pPr>
                    <w:jc w:val="both"/>
                  </w:pPr>
                  <w:r w:rsidRPr="00BC27B8">
                    <w:rPr>
                      <w:highlight w:val="lightGray"/>
                    </w:rPr>
                    <w:t>No equivalent provision.</w:t>
                  </w:r>
                  <w:r>
                    <w:t xml:space="preserve"> </w:t>
                  </w:r>
                  <w:r w:rsidRPr="00BC27B8">
                    <w:rPr>
                      <w:i/>
                    </w:rPr>
                    <w:t xml:space="preserve">(But see SECTION 1 </w:t>
                  </w:r>
                  <w:r>
                    <w:rPr>
                      <w:i/>
                    </w:rPr>
                    <w:t>above</w:t>
                  </w:r>
                  <w:r w:rsidRPr="00BC27B8">
                    <w:rPr>
                      <w:i/>
                    </w:rPr>
                    <w:t>.)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C27B8" w:rsidRDefault="006C779A" w:rsidP="008A39C1">
                  <w:pPr>
                    <w:jc w:val="both"/>
                  </w:pPr>
                  <w:r>
                    <w:t>SECTION 1.  Subchapter C, Chapter 361, Health and Safety Code, is amended by adding Section 361.0681 to read as follows:</w:t>
                  </w:r>
                </w:p>
                <w:p w:rsidR="00BC27B8" w:rsidRPr="00BC27B8" w:rsidRDefault="006C779A" w:rsidP="008A39C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361.0681.  DENIAL OF A</w:t>
                  </w:r>
                  <w:r w:rsidRPr="00BC27B8">
                    <w:rPr>
                      <w:u w:val="single"/>
                    </w:rPr>
                    <w:t xml:space="preserve">PPLICATION FOR CERTAIN MUNICIPAL SOLID WASTE LANDFILLS IN CERTAIN COUNTIES.  </w:t>
                  </w:r>
                </w:p>
                <w:p w:rsidR="00BC27B8" w:rsidRPr="00BC27B8" w:rsidRDefault="006C779A" w:rsidP="008A39C1">
                  <w:pPr>
                    <w:jc w:val="both"/>
                  </w:pPr>
                  <w:r w:rsidRPr="00BC27B8">
                    <w:rPr>
                      <w:u w:val="single"/>
                    </w:rPr>
                    <w:t>The commission may not issue a permit for a new municipal solid waste landfill if:</w:t>
                  </w:r>
                </w:p>
                <w:p w:rsidR="00BC27B8" w:rsidRPr="00BC27B8" w:rsidRDefault="006C779A" w:rsidP="008A39C1">
                  <w:pPr>
                    <w:jc w:val="both"/>
                  </w:pPr>
                  <w:r w:rsidRPr="00BC27B8">
                    <w:rPr>
                      <w:u w:val="single"/>
                    </w:rPr>
                    <w:t>(1)  the proposed site is located in a county with a population of less than 70,000 and more th</w:t>
                  </w:r>
                  <w:r w:rsidRPr="00BC27B8">
                    <w:rPr>
                      <w:u w:val="single"/>
                    </w:rPr>
                    <w:t>an 40,000 that is adjacent to a county with a population of more than 3.3 million; and</w:t>
                  </w:r>
                </w:p>
                <w:p w:rsidR="00BC27B8" w:rsidRPr="00BC27B8" w:rsidRDefault="006C779A" w:rsidP="008A39C1">
                  <w:pPr>
                    <w:jc w:val="both"/>
                  </w:pPr>
                  <w:r w:rsidRPr="00BC27B8">
                    <w:rPr>
                      <w:u w:val="single"/>
                    </w:rPr>
                    <w:t>(2)  a previous application was submitted to the commission to operate a new municipal solid waste landfill at the same proposed site and:</w:t>
                  </w:r>
                </w:p>
                <w:p w:rsidR="00BC27B8" w:rsidRPr="00BC27B8" w:rsidRDefault="006C779A" w:rsidP="008A39C1">
                  <w:pPr>
                    <w:jc w:val="both"/>
                  </w:pPr>
                  <w:r w:rsidRPr="00BC27B8">
                    <w:rPr>
                      <w:u w:val="single"/>
                    </w:rPr>
                    <w:t xml:space="preserve">(A)  the previous application </w:t>
                  </w:r>
                  <w:r w:rsidRPr="00BC27B8">
                    <w:rPr>
                      <w:u w:val="single"/>
                    </w:rPr>
                    <w:t>was returned to the applicant by the commission for containing inadequate or incomplete information; and</w:t>
                  </w:r>
                </w:p>
                <w:p w:rsidR="00BC27B8" w:rsidRDefault="006C779A" w:rsidP="008A39C1">
                  <w:pPr>
                    <w:jc w:val="both"/>
                  </w:pPr>
                  <w:r w:rsidRPr="00BC27B8">
                    <w:rPr>
                      <w:u w:val="single"/>
                    </w:rPr>
                    <w:t>(B)  the applicant for the previous application stated in writing that the previous application did not meet requirements established by commission rul</w:t>
                  </w:r>
                  <w:r w:rsidRPr="00BC27B8">
                    <w:rPr>
                      <w:u w:val="single"/>
                    </w:rPr>
                    <w:t>es.</w:t>
                  </w:r>
                </w:p>
              </w:tc>
            </w:tr>
            <w:tr w:rsidR="00506C78" w:rsidTr="00B021D6">
              <w:tc>
                <w:tcPr>
                  <w:tcW w:w="4680" w:type="dxa"/>
                  <w:tcMar>
                    <w:right w:w="360" w:type="dxa"/>
                  </w:tcMar>
                </w:tcPr>
                <w:p w:rsidR="0094225B" w:rsidRDefault="006C779A" w:rsidP="008A39C1">
                  <w:pPr>
                    <w:jc w:val="both"/>
                  </w:pPr>
                  <w:r>
                    <w:t xml:space="preserve">SECTION 2.  The changes in law made by this Act apply only to an application for the </w:t>
                  </w:r>
                  <w:r>
                    <w:lastRenderedPageBreak/>
                    <w:t>issuance of a permit pending before the Texas Commission on Environmental Quality on or after the effective date of this Act.</w:t>
                  </w:r>
                </w:p>
                <w:p w:rsidR="0094225B" w:rsidRDefault="006C779A" w:rsidP="008A39C1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94225B" w:rsidRDefault="006C779A" w:rsidP="008A39C1">
                  <w:pPr>
                    <w:jc w:val="both"/>
                  </w:pPr>
                  <w:r>
                    <w:lastRenderedPageBreak/>
                    <w:t>SECTION 2. Same as introduced version.</w:t>
                  </w:r>
                </w:p>
                <w:p w:rsidR="0094225B" w:rsidRDefault="006C779A" w:rsidP="008A39C1">
                  <w:pPr>
                    <w:jc w:val="both"/>
                  </w:pPr>
                </w:p>
                <w:p w:rsidR="0094225B" w:rsidRDefault="006C779A" w:rsidP="008A39C1">
                  <w:pPr>
                    <w:jc w:val="both"/>
                  </w:pPr>
                </w:p>
              </w:tc>
            </w:tr>
            <w:tr w:rsidR="00506C78" w:rsidTr="00B021D6">
              <w:tc>
                <w:tcPr>
                  <w:tcW w:w="4680" w:type="dxa"/>
                  <w:tcMar>
                    <w:right w:w="360" w:type="dxa"/>
                  </w:tcMar>
                </w:tcPr>
                <w:p w:rsidR="0094225B" w:rsidRDefault="006C779A" w:rsidP="008A39C1">
                  <w:pPr>
                    <w:jc w:val="both"/>
                  </w:pPr>
                  <w:r>
                    <w:lastRenderedPageBreak/>
                    <w:t>SECTION 3.  This Act takes effect September 1, 2017.</w:t>
                  </w:r>
                </w:p>
                <w:p w:rsidR="0094225B" w:rsidRDefault="006C779A" w:rsidP="008A39C1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94225B" w:rsidRDefault="006C779A" w:rsidP="008A39C1">
                  <w:pPr>
                    <w:jc w:val="both"/>
                  </w:pPr>
                  <w:r>
                    <w:t>SECTION 3. Same as introduced version.</w:t>
                  </w:r>
                </w:p>
                <w:p w:rsidR="0094225B" w:rsidRDefault="006C779A" w:rsidP="008A39C1">
                  <w:pPr>
                    <w:jc w:val="both"/>
                  </w:pPr>
                </w:p>
                <w:p w:rsidR="0094225B" w:rsidRDefault="006C779A" w:rsidP="008A39C1">
                  <w:pPr>
                    <w:jc w:val="both"/>
                  </w:pPr>
                </w:p>
              </w:tc>
            </w:tr>
          </w:tbl>
          <w:p w:rsidR="0094225B" w:rsidRDefault="006C779A" w:rsidP="008A39C1"/>
          <w:p w:rsidR="0094225B" w:rsidRPr="009C1E9A" w:rsidRDefault="006C779A" w:rsidP="008A39C1">
            <w:pPr>
              <w:rPr>
                <w:b/>
                <w:u w:val="single"/>
              </w:rPr>
            </w:pPr>
          </w:p>
        </w:tc>
      </w:tr>
    </w:tbl>
    <w:p w:rsidR="008423E4" w:rsidRPr="00BE0E75" w:rsidRDefault="006C779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C779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779A">
      <w:r>
        <w:separator/>
      </w:r>
    </w:p>
  </w:endnote>
  <w:endnote w:type="continuationSeparator" w:id="0">
    <w:p w:rsidR="00000000" w:rsidRDefault="006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6C78" w:rsidTr="009C1E9A">
      <w:trPr>
        <w:cantSplit/>
      </w:trPr>
      <w:tc>
        <w:tcPr>
          <w:tcW w:w="0" w:type="pct"/>
        </w:tcPr>
        <w:p w:rsidR="00137D90" w:rsidRDefault="006C77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77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77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77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77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6C78" w:rsidTr="009C1E9A">
      <w:trPr>
        <w:cantSplit/>
      </w:trPr>
      <w:tc>
        <w:tcPr>
          <w:tcW w:w="0" w:type="pct"/>
        </w:tcPr>
        <w:p w:rsidR="00EC379B" w:rsidRDefault="006C77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77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22258</w:t>
          </w:r>
        </w:p>
      </w:tc>
      <w:tc>
        <w:tcPr>
          <w:tcW w:w="2453" w:type="pct"/>
        </w:tcPr>
        <w:p w:rsidR="00EC379B" w:rsidRDefault="006C77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17.125.859</w:t>
          </w:r>
          <w:r>
            <w:fldChar w:fldCharType="end"/>
          </w:r>
        </w:p>
      </w:tc>
    </w:tr>
    <w:tr w:rsidR="00506C78" w:rsidTr="009C1E9A">
      <w:trPr>
        <w:cantSplit/>
      </w:trPr>
      <w:tc>
        <w:tcPr>
          <w:tcW w:w="0" w:type="pct"/>
        </w:tcPr>
        <w:p w:rsidR="00EC379B" w:rsidRDefault="006C77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77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85R 28814</w:t>
          </w:r>
        </w:p>
      </w:tc>
      <w:tc>
        <w:tcPr>
          <w:tcW w:w="2453" w:type="pct"/>
        </w:tcPr>
        <w:p w:rsidR="00EC379B" w:rsidRDefault="006C779A" w:rsidP="006D504F">
          <w:pPr>
            <w:pStyle w:val="Footer"/>
            <w:rPr>
              <w:rStyle w:val="PageNumber"/>
            </w:rPr>
          </w:pPr>
        </w:p>
        <w:p w:rsidR="00EC379B" w:rsidRDefault="006C77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6C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77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779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779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779A">
      <w:r>
        <w:separator/>
      </w:r>
    </w:p>
  </w:footnote>
  <w:footnote w:type="continuationSeparator" w:id="0">
    <w:p w:rsidR="00000000" w:rsidRDefault="006C7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78"/>
    <w:rsid w:val="00506C78"/>
    <w:rsid w:val="006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68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8F7"/>
  </w:style>
  <w:style w:type="paragraph" w:styleId="CommentSubject">
    <w:name w:val="annotation subject"/>
    <w:basedOn w:val="CommentText"/>
    <w:next w:val="CommentText"/>
    <w:link w:val="CommentSubjectChar"/>
    <w:rsid w:val="000C6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8F7"/>
    <w:rPr>
      <w:b/>
      <w:bCs/>
    </w:rPr>
  </w:style>
  <w:style w:type="paragraph" w:styleId="Revision">
    <w:name w:val="Revision"/>
    <w:hidden/>
    <w:uiPriority w:val="99"/>
    <w:semiHidden/>
    <w:rsid w:val="009D28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68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8F7"/>
  </w:style>
  <w:style w:type="paragraph" w:styleId="CommentSubject">
    <w:name w:val="annotation subject"/>
    <w:basedOn w:val="CommentText"/>
    <w:next w:val="CommentText"/>
    <w:link w:val="CommentSubjectChar"/>
    <w:rsid w:val="000C6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8F7"/>
    <w:rPr>
      <w:b/>
      <w:bCs/>
    </w:rPr>
  </w:style>
  <w:style w:type="paragraph" w:styleId="Revision">
    <w:name w:val="Revision"/>
    <w:hidden/>
    <w:uiPriority w:val="99"/>
    <w:semiHidden/>
    <w:rsid w:val="009D2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3812</Characters>
  <Application>Microsoft Office Word</Application>
  <DocSecurity>4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HB02479 (Committee Report (Substituted))</vt:lpstr>
    </vt:vector>
  </TitlesOfParts>
  <Company>State of Texas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22258</dc:subject>
  <dc:creator>State of Texas</dc:creator>
  <dc:description>HB 2479 by Bell-(H)Environmental Regulation (Substitute Document Number: 85R 28814)</dc:description>
  <cp:lastModifiedBy> Stacey Nicchio</cp:lastModifiedBy>
  <cp:revision>2</cp:revision>
  <cp:lastPrinted>2017-05-05T21:44:00Z</cp:lastPrinted>
  <dcterms:created xsi:type="dcterms:W3CDTF">2017-05-06T21:05:00Z</dcterms:created>
  <dcterms:modified xsi:type="dcterms:W3CDTF">2017-05-06T21:05:00Z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17.125.859</vt:lpwstr>
  </property>
</Properties>
</file>