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E75F9" w:rsidTr="00345119">
        <w:tc>
          <w:tcPr>
            <w:tcW w:w="9576" w:type="dxa"/>
            <w:noWrap/>
          </w:tcPr>
          <w:p w:rsidR="008423E4" w:rsidRPr="0022177D" w:rsidRDefault="0020421B" w:rsidP="00345119">
            <w:pPr>
              <w:pStyle w:val="Heading1"/>
            </w:pPr>
            <w:bookmarkStart w:id="0" w:name="_GoBack"/>
            <w:bookmarkEnd w:id="0"/>
            <w:r w:rsidRPr="00631897">
              <w:t>BILL ANALYSIS</w:t>
            </w:r>
          </w:p>
        </w:tc>
      </w:tr>
    </w:tbl>
    <w:p w:rsidR="008423E4" w:rsidRPr="0022177D" w:rsidRDefault="0020421B" w:rsidP="008423E4">
      <w:pPr>
        <w:jc w:val="center"/>
      </w:pPr>
    </w:p>
    <w:p w:rsidR="008423E4" w:rsidRPr="00B31F0E" w:rsidRDefault="0020421B" w:rsidP="008423E4"/>
    <w:p w:rsidR="008423E4" w:rsidRPr="00742794" w:rsidRDefault="0020421B" w:rsidP="008423E4">
      <w:pPr>
        <w:tabs>
          <w:tab w:val="right" w:pos="9360"/>
        </w:tabs>
      </w:pPr>
    </w:p>
    <w:tbl>
      <w:tblPr>
        <w:tblW w:w="0" w:type="auto"/>
        <w:tblLayout w:type="fixed"/>
        <w:tblLook w:val="01E0" w:firstRow="1" w:lastRow="1" w:firstColumn="1" w:lastColumn="1" w:noHBand="0" w:noVBand="0"/>
      </w:tblPr>
      <w:tblGrid>
        <w:gridCol w:w="9576"/>
      </w:tblGrid>
      <w:tr w:rsidR="00DE75F9" w:rsidTr="00345119">
        <w:tc>
          <w:tcPr>
            <w:tcW w:w="9576" w:type="dxa"/>
          </w:tcPr>
          <w:p w:rsidR="008423E4" w:rsidRPr="00861995" w:rsidRDefault="0020421B" w:rsidP="00345119">
            <w:pPr>
              <w:jc w:val="right"/>
            </w:pPr>
            <w:r>
              <w:t>C.S.H.B. 2509</w:t>
            </w:r>
          </w:p>
        </w:tc>
      </w:tr>
      <w:tr w:rsidR="00DE75F9" w:rsidTr="00345119">
        <w:tc>
          <w:tcPr>
            <w:tcW w:w="9576" w:type="dxa"/>
          </w:tcPr>
          <w:p w:rsidR="008423E4" w:rsidRPr="00861995" w:rsidRDefault="0020421B" w:rsidP="003E18B9">
            <w:pPr>
              <w:jc w:val="right"/>
            </w:pPr>
            <w:r>
              <w:t xml:space="preserve">By: </w:t>
            </w:r>
            <w:r>
              <w:t>Parker</w:t>
            </w:r>
          </w:p>
        </w:tc>
      </w:tr>
      <w:tr w:rsidR="00DE75F9" w:rsidTr="00345119">
        <w:tc>
          <w:tcPr>
            <w:tcW w:w="9576" w:type="dxa"/>
          </w:tcPr>
          <w:p w:rsidR="008423E4" w:rsidRPr="00861995" w:rsidRDefault="0020421B" w:rsidP="00345119">
            <w:pPr>
              <w:jc w:val="right"/>
            </w:pPr>
            <w:r>
              <w:t>Criminal Jurisprudence</w:t>
            </w:r>
          </w:p>
        </w:tc>
      </w:tr>
      <w:tr w:rsidR="00DE75F9" w:rsidTr="00345119">
        <w:tc>
          <w:tcPr>
            <w:tcW w:w="9576" w:type="dxa"/>
          </w:tcPr>
          <w:p w:rsidR="008423E4" w:rsidRDefault="0020421B" w:rsidP="00345119">
            <w:pPr>
              <w:jc w:val="right"/>
            </w:pPr>
            <w:r>
              <w:t>Committee Report (Substituted)</w:t>
            </w:r>
          </w:p>
        </w:tc>
      </w:tr>
    </w:tbl>
    <w:p w:rsidR="008423E4" w:rsidRDefault="0020421B" w:rsidP="008423E4">
      <w:pPr>
        <w:tabs>
          <w:tab w:val="right" w:pos="9360"/>
        </w:tabs>
      </w:pPr>
    </w:p>
    <w:p w:rsidR="008423E4" w:rsidRDefault="0020421B" w:rsidP="008423E4"/>
    <w:p w:rsidR="008423E4" w:rsidRDefault="0020421B" w:rsidP="008423E4"/>
    <w:tbl>
      <w:tblPr>
        <w:tblW w:w="0" w:type="auto"/>
        <w:tblCellMar>
          <w:left w:w="115" w:type="dxa"/>
          <w:right w:w="115" w:type="dxa"/>
        </w:tblCellMar>
        <w:tblLook w:val="01E0" w:firstRow="1" w:lastRow="1" w:firstColumn="1" w:lastColumn="1" w:noHBand="0" w:noVBand="0"/>
      </w:tblPr>
      <w:tblGrid>
        <w:gridCol w:w="9590"/>
      </w:tblGrid>
      <w:tr w:rsidR="00DE75F9" w:rsidTr="003E18B9">
        <w:tc>
          <w:tcPr>
            <w:tcW w:w="9582" w:type="dxa"/>
          </w:tcPr>
          <w:p w:rsidR="008423E4" w:rsidRPr="00A8133F" w:rsidRDefault="0020421B" w:rsidP="0079632D">
            <w:pPr>
              <w:rPr>
                <w:b/>
              </w:rPr>
            </w:pPr>
            <w:r w:rsidRPr="009C1E9A">
              <w:rPr>
                <w:b/>
                <w:u w:val="single"/>
              </w:rPr>
              <w:t>BACKGROUND AND PURPOSE</w:t>
            </w:r>
            <w:r>
              <w:rPr>
                <w:b/>
              </w:rPr>
              <w:t xml:space="preserve"> </w:t>
            </w:r>
          </w:p>
          <w:p w:rsidR="008423E4" w:rsidRDefault="0020421B" w:rsidP="0079632D"/>
          <w:p w:rsidR="008423E4" w:rsidRDefault="0020421B" w:rsidP="0079632D">
            <w:pPr>
              <w:pStyle w:val="Header"/>
              <w:jc w:val="both"/>
            </w:pPr>
            <w:r>
              <w:t xml:space="preserve">Interested parties </w:t>
            </w:r>
            <w:r>
              <w:t>contend</w:t>
            </w:r>
            <w:r>
              <w:t xml:space="preserve"> that victims of human trafficking who accrue prostitution, theft, and drug possession convictions as a direct result of their </w:t>
            </w:r>
            <w:r>
              <w:t xml:space="preserve">trafficking </w:t>
            </w:r>
            <w:r>
              <w:t>victim status often continue to be treated as criminals after they have escaped the human trafficking environment</w:t>
            </w:r>
            <w:r>
              <w:t xml:space="preserve">. </w:t>
            </w:r>
            <w:r>
              <w:t>Th</w:t>
            </w:r>
            <w:r>
              <w:t>e parties note that</w:t>
            </w:r>
            <w:r>
              <w:t xml:space="preserve"> t</w:t>
            </w:r>
            <w:r>
              <w:t>he</w:t>
            </w:r>
            <w:r>
              <w:t xml:space="preserve">se </w:t>
            </w:r>
            <w:r>
              <w:t xml:space="preserve">convictions often stand in the way </w:t>
            </w:r>
            <w:r>
              <w:t xml:space="preserve">of </w:t>
            </w:r>
            <w:r>
              <w:t>obtain</w:t>
            </w:r>
            <w:r>
              <w:t>ing</w:t>
            </w:r>
            <w:r>
              <w:t xml:space="preserve"> a stable living environment, </w:t>
            </w:r>
            <w:r>
              <w:t xml:space="preserve">maintaining employment </w:t>
            </w:r>
            <w:r>
              <w:t>in desirable fields, obtain</w:t>
            </w:r>
            <w:r>
              <w:t>ing</w:t>
            </w:r>
            <w:r>
              <w:t xml:space="preserve"> certain professional licenses, pursu</w:t>
            </w:r>
            <w:r>
              <w:t>ing</w:t>
            </w:r>
            <w:r>
              <w:t xml:space="preserve"> a higher education, and several other pursuits.</w:t>
            </w:r>
            <w:r>
              <w:t xml:space="preserve"> </w:t>
            </w:r>
            <w:r>
              <w:t>C.S.</w:t>
            </w:r>
            <w:r>
              <w:t>H.B. 25</w:t>
            </w:r>
            <w:r>
              <w:t xml:space="preserve">09 seeks to remedy this situation by </w:t>
            </w:r>
            <w:r w:rsidRPr="004E7C79">
              <w:t>extend</w:t>
            </w:r>
            <w:r>
              <w:t>ing to these victims</w:t>
            </w:r>
            <w:r w:rsidRPr="004E7C79">
              <w:t xml:space="preserve"> the authorization to petition a court for an order of nondisclosure of criminal history record information</w:t>
            </w:r>
            <w:r>
              <w:t>.</w:t>
            </w:r>
          </w:p>
          <w:p w:rsidR="008423E4" w:rsidRPr="00E26B13" w:rsidRDefault="0020421B" w:rsidP="0079632D">
            <w:pPr>
              <w:rPr>
                <w:b/>
              </w:rPr>
            </w:pPr>
          </w:p>
        </w:tc>
      </w:tr>
      <w:tr w:rsidR="00DE75F9" w:rsidTr="003E18B9">
        <w:tc>
          <w:tcPr>
            <w:tcW w:w="9582" w:type="dxa"/>
          </w:tcPr>
          <w:p w:rsidR="0017725B" w:rsidRDefault="0020421B" w:rsidP="0079632D">
            <w:pPr>
              <w:rPr>
                <w:b/>
                <w:u w:val="single"/>
              </w:rPr>
            </w:pPr>
            <w:r>
              <w:rPr>
                <w:b/>
                <w:u w:val="single"/>
              </w:rPr>
              <w:t>CRIMINAL JUSTICE IMPACT</w:t>
            </w:r>
          </w:p>
          <w:p w:rsidR="0017725B" w:rsidRDefault="0020421B" w:rsidP="0079632D">
            <w:pPr>
              <w:rPr>
                <w:b/>
                <w:u w:val="single"/>
              </w:rPr>
            </w:pPr>
          </w:p>
          <w:p w:rsidR="000C02AE" w:rsidRPr="000C02AE" w:rsidRDefault="0020421B" w:rsidP="0079632D">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20421B" w:rsidP="0079632D">
            <w:pPr>
              <w:rPr>
                <w:b/>
                <w:u w:val="single"/>
              </w:rPr>
            </w:pPr>
          </w:p>
        </w:tc>
      </w:tr>
      <w:tr w:rsidR="00DE75F9" w:rsidTr="003E18B9">
        <w:tc>
          <w:tcPr>
            <w:tcW w:w="9582" w:type="dxa"/>
          </w:tcPr>
          <w:p w:rsidR="008423E4" w:rsidRPr="00A8133F" w:rsidRDefault="0020421B" w:rsidP="0079632D">
            <w:pPr>
              <w:rPr>
                <w:b/>
              </w:rPr>
            </w:pPr>
            <w:r w:rsidRPr="009C1E9A">
              <w:rPr>
                <w:b/>
                <w:u w:val="single"/>
              </w:rPr>
              <w:t>RULEMAKING AUTHORITY</w:t>
            </w:r>
            <w:r>
              <w:rPr>
                <w:b/>
              </w:rPr>
              <w:t xml:space="preserve"> </w:t>
            </w:r>
          </w:p>
          <w:p w:rsidR="008423E4" w:rsidRDefault="0020421B" w:rsidP="0079632D"/>
          <w:p w:rsidR="000C02AE" w:rsidRDefault="0020421B" w:rsidP="0079632D">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20421B" w:rsidP="0079632D">
            <w:pPr>
              <w:rPr>
                <w:b/>
              </w:rPr>
            </w:pPr>
          </w:p>
        </w:tc>
      </w:tr>
      <w:tr w:rsidR="00DE75F9" w:rsidTr="003E18B9">
        <w:tc>
          <w:tcPr>
            <w:tcW w:w="9582" w:type="dxa"/>
          </w:tcPr>
          <w:p w:rsidR="008423E4" w:rsidRPr="00A8133F" w:rsidRDefault="0020421B" w:rsidP="0079632D">
            <w:pPr>
              <w:rPr>
                <w:b/>
              </w:rPr>
            </w:pPr>
            <w:r w:rsidRPr="009C1E9A">
              <w:rPr>
                <w:b/>
                <w:u w:val="single"/>
              </w:rPr>
              <w:t>ANALYSIS</w:t>
            </w:r>
            <w:r>
              <w:rPr>
                <w:b/>
              </w:rPr>
              <w:t xml:space="preserve"> </w:t>
            </w:r>
          </w:p>
          <w:p w:rsidR="008423E4" w:rsidRDefault="0020421B" w:rsidP="0079632D"/>
          <w:p w:rsidR="004F2E1B" w:rsidRDefault="0020421B" w:rsidP="0079632D">
            <w:pPr>
              <w:pStyle w:val="Header"/>
              <w:tabs>
                <w:tab w:val="clear" w:pos="4320"/>
                <w:tab w:val="clear" w:pos="8640"/>
              </w:tabs>
              <w:jc w:val="both"/>
            </w:pPr>
            <w:r>
              <w:t>C.S.</w:t>
            </w:r>
            <w:r>
              <w:t xml:space="preserve">H.B. 2509 amends the Government Code to </w:t>
            </w:r>
            <w:r>
              <w:t>extend the authorization</w:t>
            </w:r>
            <w:r>
              <w:t xml:space="preserve"> </w:t>
            </w:r>
            <w:r>
              <w:t>to petition a court fo</w:t>
            </w:r>
            <w:r>
              <w:t xml:space="preserve">r </w:t>
            </w:r>
            <w:r>
              <w:t xml:space="preserve">an order of nondisclosure of criminal history record information </w:t>
            </w:r>
            <w:r>
              <w:t xml:space="preserve">on the grounds that </w:t>
            </w:r>
            <w:r>
              <w:t>a</w:t>
            </w:r>
            <w:r>
              <w:t xml:space="preserve"> person committed an offense solely as a victim </w:t>
            </w:r>
            <w:r>
              <w:t xml:space="preserve">of trafficking of persons to </w:t>
            </w:r>
            <w:r>
              <w:t>a person</w:t>
            </w:r>
            <w:r>
              <w:t xml:space="preserve"> who </w:t>
            </w:r>
            <w:r>
              <w:t xml:space="preserve">on conviction </w:t>
            </w:r>
            <w:r>
              <w:t xml:space="preserve">of </w:t>
            </w:r>
            <w:r>
              <w:t>one of the following offenses</w:t>
            </w:r>
            <w:r>
              <w:t xml:space="preserve"> is placed on community supervis</w:t>
            </w:r>
            <w:r>
              <w:t>ion</w:t>
            </w:r>
            <w:r>
              <w:t xml:space="preserve"> and the conviction of which </w:t>
            </w:r>
            <w:r>
              <w:t>is subsequently set aside by the court</w:t>
            </w:r>
            <w:r>
              <w:t xml:space="preserve">: </w:t>
            </w:r>
            <w:r w:rsidRPr="00BF77EC">
              <w:t>theft</w:t>
            </w:r>
            <w:r>
              <w:t xml:space="preserve">; </w:t>
            </w:r>
            <w:r w:rsidRPr="00BF77EC">
              <w:t>unauthorized use of a vehicle</w:t>
            </w:r>
            <w:r>
              <w:t xml:space="preserve">; </w:t>
            </w:r>
            <w:r w:rsidRPr="00BF77EC">
              <w:t>possession, manufacture, or distribution of certain instruments used to commit retail theft</w:t>
            </w:r>
            <w:r>
              <w:t xml:space="preserve">; </w:t>
            </w:r>
            <w:r w:rsidRPr="00BF77EC">
              <w:t>organized retail theft</w:t>
            </w:r>
            <w:r>
              <w:t xml:space="preserve">; </w:t>
            </w:r>
            <w:r w:rsidRPr="00BF77EC">
              <w:t>unauthorized acquisition or t</w:t>
            </w:r>
            <w:r w:rsidRPr="00BF77EC">
              <w:t>ransfer of certain financial information</w:t>
            </w:r>
            <w:r>
              <w:t>; or certain offenses under the Texas Controlled Substances Act</w:t>
            </w:r>
            <w:r>
              <w:t xml:space="preserve">. </w:t>
            </w:r>
          </w:p>
          <w:p w:rsidR="008423E4" w:rsidRPr="00835628" w:rsidRDefault="0020421B" w:rsidP="0079632D">
            <w:pPr>
              <w:rPr>
                <w:b/>
              </w:rPr>
            </w:pPr>
          </w:p>
        </w:tc>
      </w:tr>
      <w:tr w:rsidR="00DE75F9" w:rsidTr="003E18B9">
        <w:tc>
          <w:tcPr>
            <w:tcW w:w="9582" w:type="dxa"/>
          </w:tcPr>
          <w:p w:rsidR="008423E4" w:rsidRPr="00A8133F" w:rsidRDefault="0020421B" w:rsidP="0079632D">
            <w:pPr>
              <w:rPr>
                <w:b/>
              </w:rPr>
            </w:pPr>
            <w:r w:rsidRPr="009C1E9A">
              <w:rPr>
                <w:b/>
                <w:u w:val="single"/>
              </w:rPr>
              <w:t>EFFECTIVE DATE</w:t>
            </w:r>
            <w:r>
              <w:rPr>
                <w:b/>
              </w:rPr>
              <w:t xml:space="preserve"> </w:t>
            </w:r>
          </w:p>
          <w:p w:rsidR="008423E4" w:rsidRDefault="0020421B" w:rsidP="0079632D"/>
          <w:p w:rsidR="008423E4" w:rsidRPr="003624F2" w:rsidRDefault="0020421B" w:rsidP="0079632D">
            <w:pPr>
              <w:pStyle w:val="Header"/>
              <w:tabs>
                <w:tab w:val="clear" w:pos="4320"/>
                <w:tab w:val="clear" w:pos="8640"/>
              </w:tabs>
              <w:jc w:val="both"/>
            </w:pPr>
            <w:r>
              <w:t>September 1, 2017.</w:t>
            </w:r>
          </w:p>
          <w:p w:rsidR="008423E4" w:rsidRPr="00233FDB" w:rsidRDefault="0020421B" w:rsidP="0079632D">
            <w:pPr>
              <w:rPr>
                <w:b/>
              </w:rPr>
            </w:pPr>
          </w:p>
        </w:tc>
      </w:tr>
      <w:tr w:rsidR="00DE75F9" w:rsidTr="003E18B9">
        <w:tc>
          <w:tcPr>
            <w:tcW w:w="9582" w:type="dxa"/>
          </w:tcPr>
          <w:p w:rsidR="003E18B9" w:rsidRDefault="0020421B" w:rsidP="0079632D">
            <w:pPr>
              <w:jc w:val="both"/>
              <w:rPr>
                <w:b/>
                <w:u w:val="single"/>
              </w:rPr>
            </w:pPr>
            <w:r>
              <w:rPr>
                <w:b/>
                <w:u w:val="single"/>
              </w:rPr>
              <w:t>COMPARISON OF ORIGINAL AND SUBSTITUTE</w:t>
            </w:r>
          </w:p>
          <w:p w:rsidR="00617F60" w:rsidRDefault="0020421B" w:rsidP="0079632D">
            <w:pPr>
              <w:jc w:val="both"/>
            </w:pPr>
          </w:p>
          <w:p w:rsidR="00617F60" w:rsidRDefault="0020421B" w:rsidP="0079632D">
            <w:pPr>
              <w:jc w:val="both"/>
            </w:pPr>
            <w:r>
              <w:t xml:space="preserve">While C.S.H.B. </w:t>
            </w:r>
            <w:r>
              <w:t>2509</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17F60" w:rsidRDefault="0020421B" w:rsidP="0079632D">
            <w:pPr>
              <w:jc w:val="both"/>
            </w:pPr>
          </w:p>
          <w:p w:rsidR="0079632D" w:rsidRPr="00617F60" w:rsidRDefault="0020421B" w:rsidP="0079632D">
            <w:pPr>
              <w:jc w:val="both"/>
            </w:pPr>
          </w:p>
        </w:tc>
      </w:tr>
      <w:tr w:rsidR="00DE75F9" w:rsidTr="003E18B9">
        <w:tc>
          <w:tcPr>
            <w:tcW w:w="9582" w:type="dxa"/>
          </w:tcPr>
          <w:tbl>
            <w:tblPr>
              <w:tblW w:w="9359" w:type="dxa"/>
              <w:tblInd w:w="6" w:type="dxa"/>
              <w:tblCellMar>
                <w:left w:w="10" w:type="dxa"/>
                <w:bottom w:w="288" w:type="dxa"/>
                <w:right w:w="10" w:type="dxa"/>
              </w:tblCellMar>
              <w:tblLook w:val="01E0" w:firstRow="1" w:lastRow="1" w:firstColumn="1" w:lastColumn="1" w:noHBand="0" w:noVBand="0"/>
            </w:tblPr>
            <w:tblGrid>
              <w:gridCol w:w="4680"/>
              <w:gridCol w:w="4679"/>
            </w:tblGrid>
            <w:tr w:rsidR="00DE75F9" w:rsidTr="00617F60">
              <w:trPr>
                <w:cantSplit/>
                <w:tblHeader/>
              </w:trPr>
              <w:tc>
                <w:tcPr>
                  <w:tcW w:w="4680" w:type="dxa"/>
                  <w:tcMar>
                    <w:bottom w:w="188" w:type="dxa"/>
                  </w:tcMar>
                </w:tcPr>
                <w:p w:rsidR="003E18B9" w:rsidRDefault="0020421B" w:rsidP="0079632D">
                  <w:pPr>
                    <w:jc w:val="center"/>
                  </w:pPr>
                  <w:r>
                    <w:lastRenderedPageBreak/>
                    <w:t>INTRODUCED</w:t>
                  </w:r>
                </w:p>
              </w:tc>
              <w:tc>
                <w:tcPr>
                  <w:tcW w:w="4679" w:type="dxa"/>
                  <w:tcMar>
                    <w:bottom w:w="188" w:type="dxa"/>
                  </w:tcMar>
                </w:tcPr>
                <w:p w:rsidR="003E18B9" w:rsidRDefault="0020421B" w:rsidP="0079632D">
                  <w:pPr>
                    <w:jc w:val="center"/>
                  </w:pPr>
                  <w:r>
                    <w:t>HOUSE COMMITTEE SUBSTITUTE</w:t>
                  </w:r>
                </w:p>
              </w:tc>
            </w:tr>
            <w:tr w:rsidR="00DE75F9" w:rsidTr="00617F60">
              <w:tc>
                <w:tcPr>
                  <w:tcW w:w="4680" w:type="dxa"/>
                  <w:tcMar>
                    <w:right w:w="360" w:type="dxa"/>
                  </w:tcMar>
                </w:tcPr>
                <w:p w:rsidR="003E18B9" w:rsidRDefault="0020421B" w:rsidP="0079632D">
                  <w:pPr>
                    <w:jc w:val="both"/>
                  </w:pPr>
                  <w:r>
                    <w:t>SECTION 1.  Sections 411.0728(a), (c), and (d), Government Code, are amended to read as follows:</w:t>
                  </w:r>
                </w:p>
                <w:p w:rsidR="003E18B9" w:rsidRDefault="0020421B" w:rsidP="0079632D">
                  <w:pPr>
                    <w:jc w:val="both"/>
                  </w:pPr>
                  <w:r>
                    <w:t>(a)  This section applies only to a person</w:t>
                  </w:r>
                  <w:r>
                    <w:rPr>
                      <w:u w:val="single"/>
                    </w:rPr>
                    <w:t>:</w:t>
                  </w:r>
                </w:p>
                <w:p w:rsidR="00386A3B" w:rsidRDefault="0020421B" w:rsidP="0079632D">
                  <w:pPr>
                    <w:jc w:val="both"/>
                  </w:pPr>
                  <w:r>
                    <w:rPr>
                      <w:u w:val="single"/>
                    </w:rPr>
                    <w:t>(1)</w:t>
                  </w:r>
                  <w:r>
                    <w:t xml:space="preserve">  who on conviction for an offense under Section </w:t>
                  </w:r>
                  <w:r>
                    <w:rPr>
                      <w:u w:val="single"/>
                    </w:rPr>
                    <w:t xml:space="preserve">31.03, 31.07, 31.15, 31.16, 31.17, </w:t>
                  </w:r>
                  <w:r>
                    <w:rPr>
                      <w:u w:val="single"/>
                    </w:rPr>
                    <w:t>or</w:t>
                  </w:r>
                  <w:r>
                    <w:t xml:space="preserve"> 43.02, Penal Code, </w:t>
                  </w:r>
                </w:p>
                <w:p w:rsidR="00386A3B" w:rsidRDefault="0020421B" w:rsidP="0079632D">
                  <w:pPr>
                    <w:jc w:val="both"/>
                  </w:pPr>
                  <w:r>
                    <w:rPr>
                      <w:u w:val="single"/>
                    </w:rPr>
                    <w:t>or Section 481.115, 481.1151, 481.116, 481.1161, 481.117, 481.118, 481.119, or 481.121, Health and Safety Code,</w:t>
                  </w:r>
                  <w:r>
                    <w:t xml:space="preserve"> </w:t>
                  </w:r>
                </w:p>
                <w:p w:rsidR="00386A3B" w:rsidRDefault="0020421B" w:rsidP="0079632D">
                  <w:pPr>
                    <w:jc w:val="both"/>
                  </w:pPr>
                </w:p>
                <w:p w:rsidR="00386A3B" w:rsidRDefault="0020421B" w:rsidP="0079632D">
                  <w:pPr>
                    <w:jc w:val="both"/>
                  </w:pPr>
                </w:p>
                <w:p w:rsidR="003E18B9" w:rsidRPr="00386A3B" w:rsidRDefault="0020421B" w:rsidP="0079632D">
                  <w:pPr>
                    <w:jc w:val="both"/>
                    <w:rPr>
                      <w:u w:val="single"/>
                    </w:rPr>
                  </w:pPr>
                  <w:r>
                    <w:t xml:space="preserve">is placed on community supervision under </w:t>
                  </w:r>
                  <w:r>
                    <w:rPr>
                      <w:u w:val="single"/>
                    </w:rPr>
                    <w:t>Chapter</w:t>
                  </w:r>
                  <w:r>
                    <w:rPr>
                      <w:u w:val="single"/>
                    </w:rPr>
                    <w:t xml:space="preserve"> </w:t>
                  </w:r>
                  <w:r>
                    <w:rPr>
                      <w:u w:val="single"/>
                    </w:rPr>
                    <w:t>42A</w:t>
                  </w:r>
                  <w:r>
                    <w:t xml:space="preserve"> [</w:t>
                  </w:r>
                  <w:r>
                    <w:rPr>
                      <w:strike/>
                    </w:rPr>
                    <w:t>Article 42.12</w:t>
                  </w:r>
                  <w:r>
                    <w:t>], Code of Criminal Procedure</w:t>
                  </w:r>
                  <w:r>
                    <w:rPr>
                      <w:u w:val="single"/>
                    </w:rPr>
                    <w:t>;</w:t>
                  </w:r>
                  <w:r>
                    <w:t>[</w:t>
                  </w:r>
                  <w:r>
                    <w:rPr>
                      <w:strike/>
                    </w:rPr>
                    <w:t>,</w:t>
                  </w:r>
                  <w:r>
                    <w:t>] and</w:t>
                  </w:r>
                </w:p>
                <w:p w:rsidR="003E18B9" w:rsidRDefault="0020421B" w:rsidP="0079632D">
                  <w:pPr>
                    <w:jc w:val="both"/>
                  </w:pPr>
                  <w:r>
                    <w:rPr>
                      <w:u w:val="single"/>
                    </w:rPr>
                    <w:t>(2)</w:t>
                  </w:r>
                  <w:r>
                    <w:t xml:space="preserve">  with res</w:t>
                  </w:r>
                  <w:r>
                    <w:t xml:space="preserve">pect to whom the conviction is subsequently set aside by the court under </w:t>
                  </w:r>
                  <w:r>
                    <w:rPr>
                      <w:u w:val="single"/>
                    </w:rPr>
                    <w:t>Article 42A.701, Code of Criminal Procedure</w:t>
                  </w:r>
                  <w:r>
                    <w:t xml:space="preserve"> [</w:t>
                  </w:r>
                  <w:r>
                    <w:rPr>
                      <w:strike/>
                    </w:rPr>
                    <w:t>Section 20(a) of that article</w:t>
                  </w:r>
                  <w:r>
                    <w:t>].</w:t>
                  </w:r>
                </w:p>
                <w:p w:rsidR="003E18B9" w:rsidRDefault="0020421B" w:rsidP="0079632D">
                  <w:pPr>
                    <w:jc w:val="both"/>
                  </w:pPr>
                  <w:r>
                    <w:t>(c)  After notice to the state, an opportunity for a hearing, and a determination by the court that the pe</w:t>
                  </w:r>
                  <w:r>
                    <w:t>rson committed the offense solely as a victim of trafficking of persons and that issuance of the order is in the best interest of justice, the court shall issue an order prohibiting criminal justice agencies from disclosing to the public criminal history r</w:t>
                  </w:r>
                  <w:r>
                    <w:t xml:space="preserve">ecord information related to the offense </w:t>
                  </w:r>
                  <w:r>
                    <w:rPr>
                      <w:u w:val="single"/>
                    </w:rPr>
                    <w:t>for which the defendant was placed on community supervision as described by Subsection (a)</w:t>
                  </w:r>
                  <w:r>
                    <w:t xml:space="preserve"> [</w:t>
                  </w:r>
                  <w:r>
                    <w:rPr>
                      <w:strike/>
                    </w:rPr>
                    <w:t>under Section 43.02, Penal Code, giving rise to the community supervision</w:t>
                  </w:r>
                  <w:r>
                    <w:t>].</w:t>
                  </w:r>
                </w:p>
                <w:p w:rsidR="003E18B9" w:rsidRDefault="0020421B" w:rsidP="0079632D">
                  <w:pPr>
                    <w:jc w:val="both"/>
                  </w:pPr>
                  <w:r>
                    <w:t>(d)  A person may petition the court that place</w:t>
                  </w:r>
                  <w:r>
                    <w:t>d the person on community supervision for an order of nondisclosure of criminal history record information under this section only after the person's conviction [</w:t>
                  </w:r>
                  <w:r>
                    <w:rPr>
                      <w:strike/>
                    </w:rPr>
                    <w:t>under Section 43.02, Penal Code,</w:t>
                  </w:r>
                  <w:r>
                    <w:t xml:space="preserve">] is set aside </w:t>
                  </w:r>
                  <w:r>
                    <w:rPr>
                      <w:u w:val="single"/>
                    </w:rPr>
                    <w:t>as described by Subsection (a)</w:t>
                  </w:r>
                  <w:r>
                    <w:t>.</w:t>
                  </w:r>
                </w:p>
                <w:p w:rsidR="003E18B9" w:rsidRDefault="0020421B" w:rsidP="0079632D">
                  <w:pPr>
                    <w:jc w:val="both"/>
                  </w:pPr>
                </w:p>
              </w:tc>
              <w:tc>
                <w:tcPr>
                  <w:tcW w:w="4679" w:type="dxa"/>
                  <w:tcMar>
                    <w:left w:w="360" w:type="dxa"/>
                  </w:tcMar>
                </w:tcPr>
                <w:p w:rsidR="003E18B9" w:rsidRDefault="0020421B" w:rsidP="0079632D">
                  <w:pPr>
                    <w:jc w:val="both"/>
                  </w:pPr>
                  <w:r>
                    <w:t>SECTION 1.  Se</w:t>
                  </w:r>
                  <w:r>
                    <w:t>ctions 411.0728(a), (c), and (d), Government Code, are amended to read as follows:</w:t>
                  </w:r>
                </w:p>
                <w:p w:rsidR="003E18B9" w:rsidRDefault="0020421B" w:rsidP="0079632D">
                  <w:pPr>
                    <w:jc w:val="both"/>
                  </w:pPr>
                  <w:r>
                    <w:t>(a)  This section applies only to a person</w:t>
                  </w:r>
                  <w:r>
                    <w:rPr>
                      <w:u w:val="single"/>
                    </w:rPr>
                    <w:t>:</w:t>
                  </w:r>
                </w:p>
                <w:p w:rsidR="003E18B9" w:rsidRDefault="0020421B" w:rsidP="0079632D">
                  <w:pPr>
                    <w:jc w:val="both"/>
                  </w:pPr>
                  <w:r>
                    <w:rPr>
                      <w:u w:val="single"/>
                    </w:rPr>
                    <w:t>(1)</w:t>
                  </w:r>
                  <w:r>
                    <w:t xml:space="preserve">  who on conviction for an offense under Section </w:t>
                  </w:r>
                  <w:r>
                    <w:rPr>
                      <w:u w:val="single"/>
                    </w:rPr>
                    <w:t>31.03, 31.07, 31.15, 31.16, 31.17, or</w:t>
                  </w:r>
                  <w:r>
                    <w:t xml:space="preserve"> 43.02, Penal Code, </w:t>
                  </w:r>
                  <w:r>
                    <w:rPr>
                      <w:u w:val="single"/>
                    </w:rPr>
                    <w:t xml:space="preserve">or </w:t>
                  </w:r>
                  <w:r w:rsidRPr="00386A3B">
                    <w:rPr>
                      <w:highlight w:val="lightGray"/>
                      <w:u w:val="single"/>
                    </w:rPr>
                    <w:t>an offense punish</w:t>
                  </w:r>
                  <w:r w:rsidRPr="00386A3B">
                    <w:rPr>
                      <w:highlight w:val="lightGray"/>
                      <w:u w:val="single"/>
                    </w:rPr>
                    <w:t>able under</w:t>
                  </w:r>
                  <w:r>
                    <w:rPr>
                      <w:u w:val="single"/>
                    </w:rPr>
                    <w:t xml:space="preserve"> Section 481.115</w:t>
                  </w:r>
                  <w:r w:rsidRPr="00386A3B">
                    <w:rPr>
                      <w:highlight w:val="lightGray"/>
                      <w:u w:val="single"/>
                    </w:rPr>
                    <w:t>(b) or (c)</w:t>
                  </w:r>
                  <w:r w:rsidRPr="00386A3B">
                    <w:rPr>
                      <w:u w:val="single"/>
                    </w:rPr>
                    <w:t>,</w:t>
                  </w:r>
                  <w:r>
                    <w:rPr>
                      <w:u w:val="single"/>
                    </w:rPr>
                    <w:t xml:space="preserve"> 481.1151</w:t>
                  </w:r>
                  <w:r w:rsidRPr="00386A3B">
                    <w:rPr>
                      <w:highlight w:val="lightGray"/>
                      <w:u w:val="single"/>
                    </w:rPr>
                    <w:t>(b)(1) or (2)</w:t>
                  </w:r>
                  <w:r w:rsidRPr="00386A3B">
                    <w:rPr>
                      <w:u w:val="single"/>
                    </w:rPr>
                    <w:t>,</w:t>
                  </w:r>
                  <w:r>
                    <w:rPr>
                      <w:u w:val="single"/>
                    </w:rPr>
                    <w:t xml:space="preserve"> 481.116</w:t>
                  </w:r>
                  <w:r w:rsidRPr="00386A3B">
                    <w:rPr>
                      <w:highlight w:val="lightGray"/>
                      <w:u w:val="single"/>
                    </w:rPr>
                    <w:t>(b) or (c)</w:t>
                  </w:r>
                  <w:r w:rsidRPr="00FD5370">
                    <w:rPr>
                      <w:u w:val="single"/>
                    </w:rPr>
                    <w:t>,</w:t>
                  </w:r>
                  <w:r>
                    <w:rPr>
                      <w:u w:val="single"/>
                    </w:rPr>
                    <w:t xml:space="preserve"> 481.1161</w:t>
                  </w:r>
                  <w:r w:rsidRPr="00386A3B">
                    <w:rPr>
                      <w:highlight w:val="lightGray"/>
                      <w:u w:val="single"/>
                    </w:rPr>
                    <w:t>(b)(1) or (2)</w:t>
                  </w:r>
                  <w:r>
                    <w:rPr>
                      <w:u w:val="single"/>
                    </w:rPr>
                    <w:t>, 481.117</w:t>
                  </w:r>
                  <w:r w:rsidRPr="00386A3B">
                    <w:rPr>
                      <w:highlight w:val="lightGray"/>
                      <w:u w:val="single"/>
                    </w:rPr>
                    <w:t>(b) or (c)</w:t>
                  </w:r>
                  <w:r>
                    <w:rPr>
                      <w:u w:val="single"/>
                    </w:rPr>
                    <w:t>, 481.118</w:t>
                  </w:r>
                  <w:r w:rsidRPr="00386A3B">
                    <w:rPr>
                      <w:highlight w:val="lightGray"/>
                      <w:u w:val="single"/>
                    </w:rPr>
                    <w:t>(b) or (c)</w:t>
                  </w:r>
                  <w:r>
                    <w:rPr>
                      <w:u w:val="single"/>
                    </w:rPr>
                    <w:t>, 481.119</w:t>
                  </w:r>
                  <w:r w:rsidRPr="00386A3B">
                    <w:rPr>
                      <w:highlight w:val="lightGray"/>
                      <w:u w:val="single"/>
                    </w:rPr>
                    <w:t>(b)</w:t>
                  </w:r>
                  <w:r>
                    <w:rPr>
                      <w:u w:val="single"/>
                    </w:rPr>
                    <w:t>, or 481.121</w:t>
                  </w:r>
                  <w:r w:rsidRPr="00386A3B">
                    <w:rPr>
                      <w:highlight w:val="lightGray"/>
                      <w:u w:val="single"/>
                    </w:rPr>
                    <w:t>(b)(1) or (2)</w:t>
                  </w:r>
                  <w:r>
                    <w:rPr>
                      <w:u w:val="single"/>
                    </w:rPr>
                    <w:t>, Health and Safety Code,</w:t>
                  </w:r>
                  <w:r>
                    <w:t xml:space="preserve"> is placed on community supervision under </w:t>
                  </w:r>
                  <w:r>
                    <w:rPr>
                      <w:u w:val="single"/>
                    </w:rPr>
                    <w:t>Chapter 42A</w:t>
                  </w:r>
                  <w:r>
                    <w:t xml:space="preserve"> [</w:t>
                  </w:r>
                  <w:r>
                    <w:rPr>
                      <w:strike/>
                    </w:rPr>
                    <w:t>Article 42.12</w:t>
                  </w:r>
                  <w:r>
                    <w:t>], Code of Criminal Procedure</w:t>
                  </w:r>
                  <w:r>
                    <w:rPr>
                      <w:u w:val="single"/>
                    </w:rPr>
                    <w:t>;</w:t>
                  </w:r>
                  <w:r>
                    <w:t>[</w:t>
                  </w:r>
                  <w:r>
                    <w:rPr>
                      <w:strike/>
                    </w:rPr>
                    <w:t>,</w:t>
                  </w:r>
                  <w:r>
                    <w:t>] and</w:t>
                  </w:r>
                </w:p>
                <w:p w:rsidR="003E18B9" w:rsidRDefault="0020421B" w:rsidP="0079632D">
                  <w:pPr>
                    <w:jc w:val="both"/>
                  </w:pPr>
                  <w:r>
                    <w:rPr>
                      <w:u w:val="single"/>
                    </w:rPr>
                    <w:t>(2)</w:t>
                  </w:r>
                  <w:r>
                    <w:t xml:space="preserve">  with respect to whom the conviction is subsequently set aside by the court under </w:t>
                  </w:r>
                  <w:r>
                    <w:rPr>
                      <w:u w:val="single"/>
                    </w:rPr>
                    <w:t>Article 42A.701, Code of Criminal Procedure</w:t>
                  </w:r>
                  <w:r>
                    <w:t xml:space="preserve"> [</w:t>
                  </w:r>
                  <w:r>
                    <w:rPr>
                      <w:strike/>
                    </w:rPr>
                    <w:t>Section 20(a) of that article</w:t>
                  </w:r>
                  <w:r>
                    <w:t>].</w:t>
                  </w:r>
                </w:p>
                <w:p w:rsidR="003E18B9" w:rsidRDefault="0020421B" w:rsidP="0079632D">
                  <w:pPr>
                    <w:jc w:val="both"/>
                  </w:pPr>
                  <w:r>
                    <w:t>(c)  After notice to the state, an opportunity for a hearing, and a determination by the court that the person committed the offense solely as a victim of trafficking of persons and that issuance of the order is in the best interest of justice, the court s</w:t>
                  </w:r>
                  <w:r>
                    <w:t xml:space="preserve">hall issue an order prohibiting criminal justice agencies from disclosing to the public criminal history record information related to the offense </w:t>
                  </w:r>
                  <w:r>
                    <w:rPr>
                      <w:u w:val="single"/>
                    </w:rPr>
                    <w:t>for which the defendant was placed on community supervision as described by Subsection (a)</w:t>
                  </w:r>
                  <w:r>
                    <w:t xml:space="preserve"> [</w:t>
                  </w:r>
                  <w:r>
                    <w:rPr>
                      <w:strike/>
                    </w:rPr>
                    <w:t>under Section 43.</w:t>
                  </w:r>
                  <w:r>
                    <w:rPr>
                      <w:strike/>
                    </w:rPr>
                    <w:t>02, Penal Code, giving rise to the community supervision</w:t>
                  </w:r>
                  <w:r>
                    <w:t>].</w:t>
                  </w:r>
                </w:p>
                <w:p w:rsidR="003E18B9" w:rsidRDefault="0020421B" w:rsidP="0079632D">
                  <w:pPr>
                    <w:jc w:val="both"/>
                  </w:pPr>
                  <w:r>
                    <w:t xml:space="preserve">(d)  A person may petition the court that placed the person on community supervision for an order of nondisclosure of criminal history record information under this section only after the person's </w:t>
                  </w:r>
                  <w:r>
                    <w:t>conviction [</w:t>
                  </w:r>
                  <w:r>
                    <w:rPr>
                      <w:strike/>
                    </w:rPr>
                    <w:t>under Section 43.02, Penal Code,</w:t>
                  </w:r>
                  <w:r>
                    <w:t xml:space="preserve">] is set aside </w:t>
                  </w:r>
                  <w:r>
                    <w:rPr>
                      <w:u w:val="single"/>
                    </w:rPr>
                    <w:t>as described by Subsection (a)</w:t>
                  </w:r>
                  <w:r>
                    <w:t>.</w:t>
                  </w:r>
                </w:p>
                <w:p w:rsidR="003E18B9" w:rsidRDefault="0020421B" w:rsidP="0079632D">
                  <w:pPr>
                    <w:jc w:val="both"/>
                  </w:pPr>
                </w:p>
              </w:tc>
            </w:tr>
            <w:tr w:rsidR="00DE75F9" w:rsidTr="00617F60">
              <w:tc>
                <w:tcPr>
                  <w:tcW w:w="4680" w:type="dxa"/>
                  <w:tcMar>
                    <w:right w:w="360" w:type="dxa"/>
                  </w:tcMar>
                </w:tcPr>
                <w:p w:rsidR="003E18B9" w:rsidRDefault="0020421B" w:rsidP="0079632D">
                  <w:pPr>
                    <w:jc w:val="both"/>
                  </w:pPr>
                  <w:r>
                    <w:t xml:space="preserve">SECTION 2.  The change in law made by this Act applies to a person whose conviction for an offense is set aside under Article 42A.701, Code of Criminal Procedure, </w:t>
                  </w:r>
                  <w:r>
                    <w:t>on or after the effective date of this Act, regardless of when the person committed the offense for which the person was convicted.</w:t>
                  </w:r>
                </w:p>
                <w:p w:rsidR="003E18B9" w:rsidRDefault="0020421B" w:rsidP="0079632D">
                  <w:pPr>
                    <w:jc w:val="both"/>
                  </w:pPr>
                </w:p>
              </w:tc>
              <w:tc>
                <w:tcPr>
                  <w:tcW w:w="4679" w:type="dxa"/>
                  <w:tcMar>
                    <w:left w:w="360" w:type="dxa"/>
                  </w:tcMar>
                </w:tcPr>
                <w:p w:rsidR="003E18B9" w:rsidRDefault="0020421B" w:rsidP="0079632D">
                  <w:pPr>
                    <w:jc w:val="both"/>
                  </w:pPr>
                  <w:r>
                    <w:t>SECTION 2. Same as introduced version.</w:t>
                  </w:r>
                </w:p>
                <w:p w:rsidR="003E18B9" w:rsidRDefault="0020421B" w:rsidP="0079632D">
                  <w:pPr>
                    <w:jc w:val="both"/>
                  </w:pPr>
                </w:p>
                <w:p w:rsidR="003E18B9" w:rsidRDefault="0020421B" w:rsidP="0079632D">
                  <w:pPr>
                    <w:jc w:val="both"/>
                  </w:pPr>
                </w:p>
              </w:tc>
            </w:tr>
            <w:tr w:rsidR="00DE75F9" w:rsidTr="00617F60">
              <w:tc>
                <w:tcPr>
                  <w:tcW w:w="4680" w:type="dxa"/>
                  <w:tcMar>
                    <w:right w:w="360" w:type="dxa"/>
                  </w:tcMar>
                </w:tcPr>
                <w:p w:rsidR="003E18B9" w:rsidRDefault="0020421B" w:rsidP="0079632D">
                  <w:pPr>
                    <w:jc w:val="both"/>
                  </w:pPr>
                  <w:r>
                    <w:t xml:space="preserve">SECTION 3.  To the extent of any conflict, </w:t>
                  </w:r>
                  <w:r>
                    <w:lastRenderedPageBreak/>
                    <w:t xml:space="preserve">this Act prevails over another Act of </w:t>
                  </w:r>
                  <w:r>
                    <w:t>the 85th Legislature, Regular Session, 2017, relating to nonsubstantive additions to and corrections in enacted codes.</w:t>
                  </w:r>
                </w:p>
                <w:p w:rsidR="003E18B9" w:rsidRDefault="0020421B" w:rsidP="0079632D">
                  <w:pPr>
                    <w:jc w:val="both"/>
                  </w:pPr>
                </w:p>
              </w:tc>
              <w:tc>
                <w:tcPr>
                  <w:tcW w:w="4679" w:type="dxa"/>
                  <w:tcMar>
                    <w:left w:w="360" w:type="dxa"/>
                  </w:tcMar>
                </w:tcPr>
                <w:p w:rsidR="003E18B9" w:rsidRDefault="0020421B" w:rsidP="0079632D">
                  <w:pPr>
                    <w:jc w:val="both"/>
                  </w:pPr>
                  <w:r>
                    <w:lastRenderedPageBreak/>
                    <w:t>SECTION 3. Same as introduced version.</w:t>
                  </w:r>
                </w:p>
                <w:p w:rsidR="003E18B9" w:rsidRDefault="0020421B" w:rsidP="0079632D">
                  <w:pPr>
                    <w:jc w:val="both"/>
                  </w:pPr>
                </w:p>
                <w:p w:rsidR="003E18B9" w:rsidRDefault="0020421B" w:rsidP="0079632D">
                  <w:pPr>
                    <w:jc w:val="both"/>
                  </w:pPr>
                </w:p>
              </w:tc>
            </w:tr>
            <w:tr w:rsidR="00DE75F9" w:rsidTr="00617F60">
              <w:tc>
                <w:tcPr>
                  <w:tcW w:w="4680" w:type="dxa"/>
                  <w:tcMar>
                    <w:right w:w="360" w:type="dxa"/>
                  </w:tcMar>
                </w:tcPr>
                <w:p w:rsidR="003E18B9" w:rsidRDefault="0020421B" w:rsidP="0079632D">
                  <w:pPr>
                    <w:jc w:val="both"/>
                  </w:pPr>
                  <w:r>
                    <w:lastRenderedPageBreak/>
                    <w:t>SECTION 4.  This Act takes effect September 1, 2017.</w:t>
                  </w:r>
                </w:p>
                <w:p w:rsidR="003E18B9" w:rsidRDefault="0020421B" w:rsidP="0079632D">
                  <w:pPr>
                    <w:jc w:val="both"/>
                  </w:pPr>
                </w:p>
              </w:tc>
              <w:tc>
                <w:tcPr>
                  <w:tcW w:w="4679" w:type="dxa"/>
                  <w:tcMar>
                    <w:left w:w="360" w:type="dxa"/>
                  </w:tcMar>
                </w:tcPr>
                <w:p w:rsidR="003E18B9" w:rsidRDefault="0020421B" w:rsidP="0079632D">
                  <w:pPr>
                    <w:jc w:val="both"/>
                  </w:pPr>
                  <w:r>
                    <w:t>SECTION 4. Same as introduced version.</w:t>
                  </w:r>
                </w:p>
                <w:p w:rsidR="003E18B9" w:rsidRDefault="0020421B" w:rsidP="0079632D">
                  <w:pPr>
                    <w:jc w:val="both"/>
                  </w:pPr>
                </w:p>
                <w:p w:rsidR="003E18B9" w:rsidRDefault="0020421B" w:rsidP="0079632D">
                  <w:pPr>
                    <w:jc w:val="both"/>
                  </w:pPr>
                </w:p>
              </w:tc>
            </w:tr>
          </w:tbl>
          <w:p w:rsidR="003E18B9" w:rsidRDefault="0020421B" w:rsidP="0079632D"/>
          <w:p w:rsidR="003E18B9" w:rsidRPr="009C1E9A" w:rsidRDefault="0020421B" w:rsidP="0079632D">
            <w:pPr>
              <w:rPr>
                <w:b/>
                <w:u w:val="single"/>
              </w:rPr>
            </w:pPr>
          </w:p>
        </w:tc>
      </w:tr>
    </w:tbl>
    <w:p w:rsidR="008423E4" w:rsidRPr="00F21CAB" w:rsidRDefault="0020421B" w:rsidP="008423E4">
      <w:pPr>
        <w:spacing w:line="480" w:lineRule="auto"/>
        <w:jc w:val="both"/>
        <w:rPr>
          <w:rFonts w:ascii="Arial" w:hAnsi="Arial"/>
          <w:sz w:val="2"/>
          <w:szCs w:val="2"/>
        </w:rPr>
      </w:pPr>
    </w:p>
    <w:p w:rsidR="004108C3" w:rsidRPr="00F21CAB" w:rsidRDefault="0020421B" w:rsidP="008423E4">
      <w:pPr>
        <w:rPr>
          <w:sz w:val="2"/>
          <w:szCs w:val="2"/>
        </w:rPr>
      </w:pPr>
    </w:p>
    <w:sectPr w:rsidR="004108C3" w:rsidRPr="00F21CAB"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421B">
      <w:r>
        <w:separator/>
      </w:r>
    </w:p>
  </w:endnote>
  <w:endnote w:type="continuationSeparator" w:id="0">
    <w:p w:rsidR="00000000" w:rsidRDefault="0020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E75F9" w:rsidTr="009C1E9A">
      <w:trPr>
        <w:cantSplit/>
      </w:trPr>
      <w:tc>
        <w:tcPr>
          <w:tcW w:w="0" w:type="pct"/>
        </w:tcPr>
        <w:p w:rsidR="00137D90" w:rsidRDefault="0020421B" w:rsidP="009C1E9A">
          <w:pPr>
            <w:pStyle w:val="Footer"/>
            <w:tabs>
              <w:tab w:val="clear" w:pos="8640"/>
              <w:tab w:val="right" w:pos="9360"/>
            </w:tabs>
          </w:pPr>
        </w:p>
      </w:tc>
      <w:tc>
        <w:tcPr>
          <w:tcW w:w="2395" w:type="pct"/>
        </w:tcPr>
        <w:p w:rsidR="00137D90" w:rsidRDefault="0020421B" w:rsidP="009C1E9A">
          <w:pPr>
            <w:pStyle w:val="Footer"/>
            <w:tabs>
              <w:tab w:val="clear" w:pos="8640"/>
              <w:tab w:val="right" w:pos="9360"/>
            </w:tabs>
          </w:pPr>
        </w:p>
        <w:p w:rsidR="001A4310" w:rsidRDefault="0020421B" w:rsidP="009C1E9A">
          <w:pPr>
            <w:pStyle w:val="Footer"/>
            <w:tabs>
              <w:tab w:val="clear" w:pos="8640"/>
              <w:tab w:val="right" w:pos="9360"/>
            </w:tabs>
          </w:pPr>
        </w:p>
        <w:p w:rsidR="00137D90" w:rsidRDefault="0020421B" w:rsidP="009C1E9A">
          <w:pPr>
            <w:pStyle w:val="Footer"/>
            <w:tabs>
              <w:tab w:val="clear" w:pos="8640"/>
              <w:tab w:val="right" w:pos="9360"/>
            </w:tabs>
          </w:pPr>
        </w:p>
      </w:tc>
      <w:tc>
        <w:tcPr>
          <w:tcW w:w="2453" w:type="pct"/>
        </w:tcPr>
        <w:p w:rsidR="00137D90" w:rsidRDefault="0020421B" w:rsidP="009C1E9A">
          <w:pPr>
            <w:pStyle w:val="Footer"/>
            <w:tabs>
              <w:tab w:val="clear" w:pos="8640"/>
              <w:tab w:val="right" w:pos="9360"/>
            </w:tabs>
            <w:jc w:val="right"/>
          </w:pPr>
        </w:p>
      </w:tc>
    </w:tr>
    <w:tr w:rsidR="00DE75F9" w:rsidTr="009C1E9A">
      <w:trPr>
        <w:cantSplit/>
      </w:trPr>
      <w:tc>
        <w:tcPr>
          <w:tcW w:w="0" w:type="pct"/>
        </w:tcPr>
        <w:p w:rsidR="00EC379B" w:rsidRDefault="0020421B" w:rsidP="009C1E9A">
          <w:pPr>
            <w:pStyle w:val="Footer"/>
            <w:tabs>
              <w:tab w:val="clear" w:pos="8640"/>
              <w:tab w:val="right" w:pos="9360"/>
            </w:tabs>
          </w:pPr>
        </w:p>
      </w:tc>
      <w:tc>
        <w:tcPr>
          <w:tcW w:w="2395" w:type="pct"/>
        </w:tcPr>
        <w:p w:rsidR="00EC379B" w:rsidRPr="009C1E9A" w:rsidRDefault="0020421B" w:rsidP="009C1E9A">
          <w:pPr>
            <w:pStyle w:val="Footer"/>
            <w:tabs>
              <w:tab w:val="clear" w:pos="8640"/>
              <w:tab w:val="right" w:pos="9360"/>
            </w:tabs>
            <w:rPr>
              <w:rFonts w:ascii="Shruti" w:hAnsi="Shruti"/>
              <w:sz w:val="22"/>
            </w:rPr>
          </w:pPr>
          <w:r>
            <w:rPr>
              <w:rFonts w:ascii="Shruti" w:hAnsi="Shruti"/>
              <w:sz w:val="22"/>
            </w:rPr>
            <w:t>85R 24365</w:t>
          </w:r>
        </w:p>
      </w:tc>
      <w:tc>
        <w:tcPr>
          <w:tcW w:w="2453" w:type="pct"/>
        </w:tcPr>
        <w:p w:rsidR="00EC379B" w:rsidRDefault="0020421B" w:rsidP="009C1E9A">
          <w:pPr>
            <w:pStyle w:val="Footer"/>
            <w:tabs>
              <w:tab w:val="clear" w:pos="8640"/>
              <w:tab w:val="right" w:pos="9360"/>
            </w:tabs>
            <w:jc w:val="right"/>
          </w:pPr>
          <w:r>
            <w:fldChar w:fldCharType="begin"/>
          </w:r>
          <w:r>
            <w:instrText xml:space="preserve"> DOCPROPERTY  OTID  \* MERGEFORMAT </w:instrText>
          </w:r>
          <w:r>
            <w:fldChar w:fldCharType="separate"/>
          </w:r>
          <w:r>
            <w:t>17.110.894</w:t>
          </w:r>
          <w:r>
            <w:fldChar w:fldCharType="end"/>
          </w:r>
        </w:p>
      </w:tc>
    </w:tr>
    <w:tr w:rsidR="00DE75F9" w:rsidTr="009C1E9A">
      <w:trPr>
        <w:cantSplit/>
      </w:trPr>
      <w:tc>
        <w:tcPr>
          <w:tcW w:w="0" w:type="pct"/>
        </w:tcPr>
        <w:p w:rsidR="00EC379B" w:rsidRDefault="0020421B" w:rsidP="009C1E9A">
          <w:pPr>
            <w:pStyle w:val="Footer"/>
            <w:tabs>
              <w:tab w:val="clear" w:pos="4320"/>
              <w:tab w:val="clear" w:pos="8640"/>
              <w:tab w:val="left" w:pos="2865"/>
            </w:tabs>
          </w:pPr>
        </w:p>
      </w:tc>
      <w:tc>
        <w:tcPr>
          <w:tcW w:w="2395" w:type="pct"/>
        </w:tcPr>
        <w:p w:rsidR="00EC379B" w:rsidRPr="009C1E9A" w:rsidRDefault="0020421B" w:rsidP="009C1E9A">
          <w:pPr>
            <w:pStyle w:val="Footer"/>
            <w:tabs>
              <w:tab w:val="clear" w:pos="4320"/>
              <w:tab w:val="clear" w:pos="8640"/>
              <w:tab w:val="left" w:pos="2865"/>
            </w:tabs>
            <w:rPr>
              <w:rFonts w:ascii="Shruti" w:hAnsi="Shruti"/>
              <w:sz w:val="22"/>
            </w:rPr>
          </w:pPr>
          <w:r>
            <w:rPr>
              <w:rFonts w:ascii="Shruti" w:hAnsi="Shruti"/>
              <w:sz w:val="22"/>
            </w:rPr>
            <w:t>Substitute Document Number: 85R 21703</w:t>
          </w:r>
        </w:p>
      </w:tc>
      <w:tc>
        <w:tcPr>
          <w:tcW w:w="2453" w:type="pct"/>
        </w:tcPr>
        <w:p w:rsidR="00EC379B" w:rsidRDefault="0020421B" w:rsidP="006D504F">
          <w:pPr>
            <w:pStyle w:val="Footer"/>
            <w:rPr>
              <w:rStyle w:val="PageNumber"/>
            </w:rPr>
          </w:pPr>
        </w:p>
        <w:p w:rsidR="00EC379B" w:rsidRDefault="0020421B" w:rsidP="009C1E9A">
          <w:pPr>
            <w:pStyle w:val="Footer"/>
            <w:tabs>
              <w:tab w:val="clear" w:pos="8640"/>
              <w:tab w:val="right" w:pos="9360"/>
            </w:tabs>
            <w:jc w:val="right"/>
          </w:pPr>
        </w:p>
      </w:tc>
    </w:tr>
    <w:tr w:rsidR="00DE75F9" w:rsidTr="009C1E9A">
      <w:trPr>
        <w:cantSplit/>
        <w:trHeight w:val="323"/>
      </w:trPr>
      <w:tc>
        <w:tcPr>
          <w:tcW w:w="0" w:type="pct"/>
          <w:gridSpan w:val="3"/>
        </w:tcPr>
        <w:p w:rsidR="00EC379B" w:rsidRDefault="002042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421B" w:rsidP="009C1E9A">
          <w:pPr>
            <w:pStyle w:val="Footer"/>
            <w:tabs>
              <w:tab w:val="clear" w:pos="8640"/>
              <w:tab w:val="right" w:pos="9360"/>
            </w:tabs>
            <w:jc w:val="center"/>
          </w:pPr>
        </w:p>
      </w:tc>
    </w:tr>
  </w:tbl>
  <w:p w:rsidR="00EC379B" w:rsidRPr="00FF6F72" w:rsidRDefault="002042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421B">
      <w:r>
        <w:separator/>
      </w:r>
    </w:p>
  </w:footnote>
  <w:footnote w:type="continuationSeparator" w:id="0">
    <w:p w:rsidR="00000000" w:rsidRDefault="0020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F9"/>
    <w:rsid w:val="0020421B"/>
    <w:rsid w:val="00DE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02AE"/>
    <w:rPr>
      <w:sz w:val="16"/>
      <w:szCs w:val="16"/>
    </w:rPr>
  </w:style>
  <w:style w:type="paragraph" w:styleId="CommentText">
    <w:name w:val="annotation text"/>
    <w:basedOn w:val="Normal"/>
    <w:link w:val="CommentTextChar"/>
    <w:rsid w:val="000C02AE"/>
    <w:rPr>
      <w:sz w:val="20"/>
      <w:szCs w:val="20"/>
    </w:rPr>
  </w:style>
  <w:style w:type="character" w:customStyle="1" w:styleId="CommentTextChar">
    <w:name w:val="Comment Text Char"/>
    <w:basedOn w:val="DefaultParagraphFont"/>
    <w:link w:val="CommentText"/>
    <w:rsid w:val="000C02AE"/>
  </w:style>
  <w:style w:type="paragraph" w:styleId="CommentSubject">
    <w:name w:val="annotation subject"/>
    <w:basedOn w:val="CommentText"/>
    <w:next w:val="CommentText"/>
    <w:link w:val="CommentSubjectChar"/>
    <w:rsid w:val="000C02AE"/>
    <w:rPr>
      <w:b/>
      <w:bCs/>
    </w:rPr>
  </w:style>
  <w:style w:type="character" w:customStyle="1" w:styleId="CommentSubjectChar">
    <w:name w:val="Comment Subject Char"/>
    <w:basedOn w:val="CommentTextChar"/>
    <w:link w:val="CommentSubject"/>
    <w:rsid w:val="000C02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02AE"/>
    <w:rPr>
      <w:sz w:val="16"/>
      <w:szCs w:val="16"/>
    </w:rPr>
  </w:style>
  <w:style w:type="paragraph" w:styleId="CommentText">
    <w:name w:val="annotation text"/>
    <w:basedOn w:val="Normal"/>
    <w:link w:val="CommentTextChar"/>
    <w:rsid w:val="000C02AE"/>
    <w:rPr>
      <w:sz w:val="20"/>
      <w:szCs w:val="20"/>
    </w:rPr>
  </w:style>
  <w:style w:type="character" w:customStyle="1" w:styleId="CommentTextChar">
    <w:name w:val="Comment Text Char"/>
    <w:basedOn w:val="DefaultParagraphFont"/>
    <w:link w:val="CommentText"/>
    <w:rsid w:val="000C02AE"/>
  </w:style>
  <w:style w:type="paragraph" w:styleId="CommentSubject">
    <w:name w:val="annotation subject"/>
    <w:basedOn w:val="CommentText"/>
    <w:next w:val="CommentText"/>
    <w:link w:val="CommentSubjectChar"/>
    <w:rsid w:val="000C02AE"/>
    <w:rPr>
      <w:b/>
      <w:bCs/>
    </w:rPr>
  </w:style>
  <w:style w:type="character" w:customStyle="1" w:styleId="CommentSubjectChar">
    <w:name w:val="Comment Subject Char"/>
    <w:basedOn w:val="CommentTextChar"/>
    <w:link w:val="CommentSubject"/>
    <w:rsid w:val="000C0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5186</Characters>
  <Application>Microsoft Office Word</Application>
  <DocSecurity>4</DocSecurity>
  <Lines>169</Lines>
  <Paragraphs>39</Paragraphs>
  <ScaleCrop>false</ScaleCrop>
  <HeadingPairs>
    <vt:vector size="2" baseType="variant">
      <vt:variant>
        <vt:lpstr>Title</vt:lpstr>
      </vt:variant>
      <vt:variant>
        <vt:i4>1</vt:i4>
      </vt:variant>
    </vt:vector>
  </HeadingPairs>
  <TitlesOfParts>
    <vt:vector size="1" baseType="lpstr">
      <vt:lpstr>BA - HB02509 (Committee Report (Substituted))</vt:lpstr>
    </vt:vector>
  </TitlesOfParts>
  <Company>State of Texas</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24365</dc:subject>
  <dc:creator>State of Texas</dc:creator>
  <dc:description>HB 2509 by Parker-(H)Criminal Jurisprudence (Substitute Document Number: 85R 21703)</dc:description>
  <cp:lastModifiedBy>Molly Hoffman-Bricker</cp:lastModifiedBy>
  <cp:revision>2</cp:revision>
  <cp:lastPrinted>2017-04-20T21:09:00Z</cp:lastPrinted>
  <dcterms:created xsi:type="dcterms:W3CDTF">2017-04-26T23:20:00Z</dcterms:created>
  <dcterms:modified xsi:type="dcterms:W3CDTF">2017-04-26T23:20:00Z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17.110.894</vt:lpwstr>
  </property>
</Properties>
</file>