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32D5" w:rsidTr="00345119">
        <w:tc>
          <w:tcPr>
            <w:tcW w:w="9576" w:type="dxa"/>
            <w:noWrap/>
          </w:tcPr>
          <w:p w:rsidR="008423E4" w:rsidRPr="0022177D" w:rsidRDefault="00F440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40B5" w:rsidP="008423E4">
      <w:pPr>
        <w:jc w:val="center"/>
      </w:pPr>
    </w:p>
    <w:p w:rsidR="008423E4" w:rsidRPr="00B31F0E" w:rsidRDefault="00F440B5" w:rsidP="008423E4"/>
    <w:p w:rsidR="008423E4" w:rsidRPr="00742794" w:rsidRDefault="00F440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32D5" w:rsidTr="00345119">
        <w:tc>
          <w:tcPr>
            <w:tcW w:w="9576" w:type="dxa"/>
          </w:tcPr>
          <w:p w:rsidR="008423E4" w:rsidRPr="00861995" w:rsidRDefault="00F440B5" w:rsidP="00345119">
            <w:pPr>
              <w:jc w:val="right"/>
            </w:pPr>
            <w:r>
              <w:t>H.B. 2576</w:t>
            </w:r>
          </w:p>
        </w:tc>
      </w:tr>
      <w:tr w:rsidR="003532D5" w:rsidTr="00345119">
        <w:tc>
          <w:tcPr>
            <w:tcW w:w="9576" w:type="dxa"/>
          </w:tcPr>
          <w:p w:rsidR="008423E4" w:rsidRPr="00861995" w:rsidRDefault="00F440B5" w:rsidP="000476ED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3532D5" w:rsidTr="00345119">
        <w:tc>
          <w:tcPr>
            <w:tcW w:w="9576" w:type="dxa"/>
          </w:tcPr>
          <w:p w:rsidR="008423E4" w:rsidRPr="00861995" w:rsidRDefault="00F440B5" w:rsidP="00345119">
            <w:pPr>
              <w:jc w:val="right"/>
            </w:pPr>
            <w:r>
              <w:t>State Affairs</w:t>
            </w:r>
          </w:p>
        </w:tc>
      </w:tr>
      <w:tr w:rsidR="003532D5" w:rsidTr="00345119">
        <w:tc>
          <w:tcPr>
            <w:tcW w:w="9576" w:type="dxa"/>
          </w:tcPr>
          <w:p w:rsidR="008423E4" w:rsidRDefault="00F440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440B5" w:rsidP="008423E4">
      <w:pPr>
        <w:tabs>
          <w:tab w:val="right" w:pos="9360"/>
        </w:tabs>
      </w:pPr>
    </w:p>
    <w:p w:rsidR="008423E4" w:rsidRDefault="00F440B5" w:rsidP="008423E4"/>
    <w:p w:rsidR="008423E4" w:rsidRDefault="00F440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32D5" w:rsidTr="00345119">
        <w:tc>
          <w:tcPr>
            <w:tcW w:w="9576" w:type="dxa"/>
          </w:tcPr>
          <w:p w:rsidR="008423E4" w:rsidRPr="00A8133F" w:rsidRDefault="00F440B5" w:rsidP="009C5E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40B5" w:rsidP="009C5EA4"/>
          <w:p w:rsidR="008423E4" w:rsidRDefault="00F440B5" w:rsidP="009C5E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Informed observers </w:t>
            </w:r>
            <w:r>
              <w:t xml:space="preserve">note that Texas is experiencing tremendous growth in </w:t>
            </w:r>
            <w:r>
              <w:t xml:space="preserve">electric </w:t>
            </w:r>
            <w:r>
              <w:t xml:space="preserve">transmission and distribution service demand and that there is a continuing need to provide for periodic </w:t>
            </w:r>
            <w:r>
              <w:t xml:space="preserve">electric utility </w:t>
            </w:r>
            <w:r>
              <w:t xml:space="preserve">rate adjustments. H.B. 2576 seeks to make permanent </w:t>
            </w:r>
            <w:r>
              <w:t xml:space="preserve">statutory </w:t>
            </w:r>
            <w:r>
              <w:t xml:space="preserve">provisions </w:t>
            </w:r>
            <w:r>
              <w:t>providing for</w:t>
            </w:r>
            <w:r>
              <w:t xml:space="preserve"> periodic adjustments </w:t>
            </w:r>
            <w:r>
              <w:t>to</w:t>
            </w:r>
            <w:r>
              <w:t xml:space="preserve"> electric </w:t>
            </w:r>
            <w:r>
              <w:t>rates.</w:t>
            </w:r>
          </w:p>
          <w:p w:rsidR="008423E4" w:rsidRPr="00E26B13" w:rsidRDefault="00F440B5" w:rsidP="009C5EA4">
            <w:pPr>
              <w:rPr>
                <w:b/>
              </w:rPr>
            </w:pPr>
          </w:p>
        </w:tc>
      </w:tr>
      <w:tr w:rsidR="003532D5" w:rsidTr="00345119">
        <w:tc>
          <w:tcPr>
            <w:tcW w:w="9576" w:type="dxa"/>
          </w:tcPr>
          <w:p w:rsidR="0017725B" w:rsidRDefault="00F440B5" w:rsidP="009C5E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F440B5" w:rsidP="009C5EA4">
            <w:pPr>
              <w:rPr>
                <w:b/>
                <w:u w:val="single"/>
              </w:rPr>
            </w:pPr>
          </w:p>
          <w:p w:rsidR="00257762" w:rsidRPr="00257762" w:rsidRDefault="00F440B5" w:rsidP="009C5EA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F440B5" w:rsidP="009C5EA4">
            <w:pPr>
              <w:rPr>
                <w:b/>
                <w:u w:val="single"/>
              </w:rPr>
            </w:pPr>
          </w:p>
        </w:tc>
      </w:tr>
      <w:tr w:rsidR="003532D5" w:rsidTr="00345119">
        <w:tc>
          <w:tcPr>
            <w:tcW w:w="9576" w:type="dxa"/>
          </w:tcPr>
          <w:p w:rsidR="008423E4" w:rsidRPr="00A8133F" w:rsidRDefault="00F440B5" w:rsidP="009C5E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40B5" w:rsidP="009C5EA4"/>
          <w:p w:rsidR="00257762" w:rsidRDefault="00F440B5" w:rsidP="009C5E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440B5" w:rsidP="009C5EA4">
            <w:pPr>
              <w:rPr>
                <w:b/>
              </w:rPr>
            </w:pPr>
          </w:p>
        </w:tc>
      </w:tr>
      <w:tr w:rsidR="003532D5" w:rsidTr="00345119">
        <w:tc>
          <w:tcPr>
            <w:tcW w:w="9576" w:type="dxa"/>
          </w:tcPr>
          <w:p w:rsidR="008423E4" w:rsidRPr="00A8133F" w:rsidRDefault="00F440B5" w:rsidP="009C5E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40B5" w:rsidP="009C5EA4"/>
          <w:p w:rsidR="008423E4" w:rsidRDefault="00F440B5" w:rsidP="009C5E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2576 repeals </w:t>
            </w:r>
            <w:r w:rsidRPr="00580A8F">
              <w:t>Sections 36.210(h)</w:t>
            </w:r>
            <w:r>
              <w:t xml:space="preserve"> and</w:t>
            </w:r>
            <w:r w:rsidRPr="00580A8F">
              <w:t xml:space="preserve"> (h-1), </w:t>
            </w:r>
            <w:r w:rsidRPr="00580A8F">
              <w:t>Utilities Code,</w:t>
            </w:r>
            <w:r>
              <w:t xml:space="preserve"> </w:t>
            </w:r>
            <w:r>
              <w:t xml:space="preserve">which require the Public Utility Commission of Texas to conduct certain studies analyzing electric rates and to report on the findings of those studies, </w:t>
            </w:r>
            <w:r w:rsidRPr="00580A8F">
              <w:t xml:space="preserve">and </w:t>
            </w:r>
            <w:r>
              <w:t>Section 36.210</w:t>
            </w:r>
            <w:r w:rsidRPr="00580A8F">
              <w:t xml:space="preserve">(i), </w:t>
            </w:r>
            <w:r w:rsidRPr="00580A8F">
              <w:t>Utilities Code,</w:t>
            </w:r>
            <w:r>
              <w:t xml:space="preserve"> </w:t>
            </w:r>
            <w:r>
              <w:t>which sets statuto</w:t>
            </w:r>
            <w:r>
              <w:t>ry provisions providing for periodic adjustments to electric rates to</w:t>
            </w:r>
            <w:r>
              <w:t xml:space="preserve"> expire</w:t>
            </w:r>
            <w:r>
              <w:t xml:space="preserve"> September 1, 2019</w:t>
            </w:r>
            <w:r>
              <w:t>.</w:t>
            </w:r>
            <w:r>
              <w:t xml:space="preserve"> </w:t>
            </w:r>
          </w:p>
          <w:p w:rsidR="003B2FB4" w:rsidRPr="00835628" w:rsidRDefault="00F440B5" w:rsidP="009C5EA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532D5" w:rsidTr="00345119">
        <w:tc>
          <w:tcPr>
            <w:tcW w:w="9576" w:type="dxa"/>
          </w:tcPr>
          <w:p w:rsidR="008423E4" w:rsidRPr="00A8133F" w:rsidRDefault="00F440B5" w:rsidP="009C5E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40B5" w:rsidP="009C5EA4"/>
          <w:p w:rsidR="008423E4" w:rsidRPr="003624F2" w:rsidRDefault="00F440B5" w:rsidP="009C5E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440B5" w:rsidP="009C5EA4">
            <w:pPr>
              <w:rPr>
                <w:b/>
              </w:rPr>
            </w:pPr>
          </w:p>
        </w:tc>
      </w:tr>
    </w:tbl>
    <w:p w:rsidR="008423E4" w:rsidRPr="00BE0E75" w:rsidRDefault="00F440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440B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0B5">
      <w:r>
        <w:separator/>
      </w:r>
    </w:p>
  </w:endnote>
  <w:endnote w:type="continuationSeparator" w:id="0">
    <w:p w:rsidR="00000000" w:rsidRDefault="00F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44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32D5" w:rsidTr="009C1E9A">
      <w:trPr>
        <w:cantSplit/>
      </w:trPr>
      <w:tc>
        <w:tcPr>
          <w:tcW w:w="0" w:type="pct"/>
        </w:tcPr>
        <w:p w:rsidR="00137D90" w:rsidRDefault="00F440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40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40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40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40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32D5" w:rsidTr="009C1E9A">
      <w:trPr>
        <w:cantSplit/>
      </w:trPr>
      <w:tc>
        <w:tcPr>
          <w:tcW w:w="0" w:type="pct"/>
        </w:tcPr>
        <w:p w:rsidR="00EC379B" w:rsidRDefault="00F440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40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20746</w:t>
          </w:r>
        </w:p>
      </w:tc>
      <w:tc>
        <w:tcPr>
          <w:tcW w:w="2453" w:type="pct"/>
        </w:tcPr>
        <w:p w:rsidR="00EC379B" w:rsidRDefault="00F440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17.90.1003</w:t>
          </w:r>
          <w:r>
            <w:fldChar w:fldCharType="end"/>
          </w:r>
        </w:p>
      </w:tc>
    </w:tr>
    <w:tr w:rsidR="003532D5" w:rsidTr="009C1E9A">
      <w:trPr>
        <w:cantSplit/>
      </w:trPr>
      <w:tc>
        <w:tcPr>
          <w:tcW w:w="0" w:type="pct"/>
        </w:tcPr>
        <w:p w:rsidR="00EC379B" w:rsidRDefault="00F440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40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440B5" w:rsidP="006D504F">
          <w:pPr>
            <w:pStyle w:val="Footer"/>
            <w:rPr>
              <w:rStyle w:val="PageNumber"/>
            </w:rPr>
          </w:pPr>
        </w:p>
        <w:p w:rsidR="00EC379B" w:rsidRDefault="00F440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32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40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40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40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44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0B5">
      <w:r>
        <w:separator/>
      </w:r>
    </w:p>
  </w:footnote>
  <w:footnote w:type="continuationSeparator" w:id="0">
    <w:p w:rsidR="00000000" w:rsidRDefault="00F4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44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44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4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5"/>
    <w:rsid w:val="003532D5"/>
    <w:rsid w:val="00F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7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762"/>
  </w:style>
  <w:style w:type="paragraph" w:styleId="CommentSubject">
    <w:name w:val="annotation subject"/>
    <w:basedOn w:val="CommentText"/>
    <w:next w:val="CommentText"/>
    <w:link w:val="CommentSubjectChar"/>
    <w:rsid w:val="00257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57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762"/>
  </w:style>
  <w:style w:type="paragraph" w:styleId="CommentSubject">
    <w:name w:val="annotation subject"/>
    <w:basedOn w:val="CommentText"/>
    <w:next w:val="CommentText"/>
    <w:link w:val="CommentSubjectChar"/>
    <w:rsid w:val="00257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HB02576 (Committee Report (Unamended))</vt:lpstr>
    </vt:vector>
  </TitlesOfParts>
  <Company>State of Texas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20746</dc:subject>
  <dc:creator>State of Texas</dc:creator>
  <dc:description>HB 2576 by Thompson, Senfronia-(H)State Affairs</dc:description>
  <cp:lastModifiedBy>Brianna Weis</cp:lastModifiedBy>
  <cp:revision>2</cp:revision>
  <cp:lastPrinted>2017-04-02T18:55:00Z</cp:lastPrinted>
  <dcterms:created xsi:type="dcterms:W3CDTF">2017-04-28T01:40:00Z</dcterms:created>
  <dcterms:modified xsi:type="dcterms:W3CDTF">2017-04-28T01:40:00Z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17.90.1003</vt:lpwstr>
  </property>
</Properties>
</file>