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07BFD" w:rsidTr="00345119">
        <w:tc>
          <w:tcPr>
            <w:tcW w:w="9576" w:type="dxa"/>
            <w:noWrap/>
          </w:tcPr>
          <w:p w:rsidR="008423E4" w:rsidRPr="0022177D" w:rsidRDefault="002520B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520B9" w:rsidP="008423E4">
      <w:pPr>
        <w:jc w:val="center"/>
      </w:pPr>
    </w:p>
    <w:p w:rsidR="008423E4" w:rsidRPr="00B31F0E" w:rsidRDefault="002520B9" w:rsidP="008423E4"/>
    <w:p w:rsidR="008423E4" w:rsidRPr="00742794" w:rsidRDefault="002520B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07BFD" w:rsidTr="00345119">
        <w:tc>
          <w:tcPr>
            <w:tcW w:w="9576" w:type="dxa"/>
          </w:tcPr>
          <w:p w:rsidR="008423E4" w:rsidRPr="00861995" w:rsidRDefault="002520B9" w:rsidP="00345119">
            <w:pPr>
              <w:jc w:val="right"/>
            </w:pPr>
            <w:r>
              <w:t>C.S.H.B. 2819</w:t>
            </w:r>
          </w:p>
        </w:tc>
      </w:tr>
      <w:tr w:rsidR="00307BFD" w:rsidTr="00345119">
        <w:tc>
          <w:tcPr>
            <w:tcW w:w="9576" w:type="dxa"/>
          </w:tcPr>
          <w:p w:rsidR="008423E4" w:rsidRPr="00861995" w:rsidRDefault="002520B9" w:rsidP="00257635">
            <w:pPr>
              <w:jc w:val="right"/>
            </w:pPr>
            <w:r>
              <w:t xml:space="preserve">By: </w:t>
            </w:r>
            <w:r>
              <w:t>Darby</w:t>
            </w:r>
          </w:p>
        </w:tc>
      </w:tr>
      <w:tr w:rsidR="00307BFD" w:rsidTr="00345119">
        <w:tc>
          <w:tcPr>
            <w:tcW w:w="9576" w:type="dxa"/>
          </w:tcPr>
          <w:p w:rsidR="008423E4" w:rsidRPr="00861995" w:rsidRDefault="002520B9" w:rsidP="00345119">
            <w:pPr>
              <w:jc w:val="right"/>
            </w:pPr>
            <w:r>
              <w:t>Energy Resources</w:t>
            </w:r>
          </w:p>
        </w:tc>
      </w:tr>
      <w:tr w:rsidR="00307BFD" w:rsidTr="00345119">
        <w:tc>
          <w:tcPr>
            <w:tcW w:w="9576" w:type="dxa"/>
          </w:tcPr>
          <w:p w:rsidR="008423E4" w:rsidRDefault="002520B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520B9" w:rsidP="008423E4">
      <w:pPr>
        <w:tabs>
          <w:tab w:val="right" w:pos="9360"/>
        </w:tabs>
      </w:pPr>
    </w:p>
    <w:p w:rsidR="008423E4" w:rsidRDefault="002520B9" w:rsidP="008423E4"/>
    <w:p w:rsidR="008423E4" w:rsidRDefault="002520B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307BFD" w:rsidTr="00257635">
        <w:tc>
          <w:tcPr>
            <w:tcW w:w="9582" w:type="dxa"/>
          </w:tcPr>
          <w:p w:rsidR="008423E4" w:rsidRPr="00A8133F" w:rsidRDefault="002520B9" w:rsidP="00A4232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520B9" w:rsidP="00A42327"/>
          <w:p w:rsidR="008423E4" w:rsidRDefault="002520B9" w:rsidP="00A423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the need to codify the </w:t>
            </w:r>
            <w:r w:rsidRPr="009411FD">
              <w:t xml:space="preserve">TexNet </w:t>
            </w:r>
            <w:r>
              <w:t>Technical</w:t>
            </w:r>
            <w:r w:rsidRPr="009411FD">
              <w:t xml:space="preserve"> Advisory Committee</w:t>
            </w:r>
            <w:r w:rsidRPr="00611D4E">
              <w:t xml:space="preserve">. </w:t>
            </w:r>
            <w:r>
              <w:br/>
            </w:r>
            <w:r w:rsidRPr="000E209B">
              <w:t>C.S.</w:t>
            </w:r>
            <w:r w:rsidRPr="00611D4E">
              <w:t>H</w:t>
            </w:r>
            <w:r>
              <w:t>.</w:t>
            </w:r>
            <w:r w:rsidRPr="00611D4E">
              <w:t>B</w:t>
            </w:r>
            <w:r>
              <w:t>.</w:t>
            </w:r>
            <w:r w:rsidRPr="00611D4E">
              <w:t xml:space="preserve"> 2819</w:t>
            </w:r>
            <w:r>
              <w:t xml:space="preserve"> seeks to provide for such</w:t>
            </w:r>
            <w:r w:rsidRPr="00611D4E">
              <w:t xml:space="preserve"> codifi</w:t>
            </w:r>
            <w:r>
              <w:t>cation</w:t>
            </w:r>
            <w:r w:rsidRPr="00611D4E">
              <w:t>.</w:t>
            </w:r>
          </w:p>
          <w:p w:rsidR="008423E4" w:rsidRPr="00E26B13" w:rsidRDefault="002520B9" w:rsidP="00A42327">
            <w:pPr>
              <w:rPr>
                <w:b/>
              </w:rPr>
            </w:pPr>
          </w:p>
        </w:tc>
      </w:tr>
      <w:tr w:rsidR="00307BFD" w:rsidTr="00257635">
        <w:tc>
          <w:tcPr>
            <w:tcW w:w="9582" w:type="dxa"/>
          </w:tcPr>
          <w:p w:rsidR="0017725B" w:rsidRDefault="002520B9" w:rsidP="00A423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520B9" w:rsidP="00A42327">
            <w:pPr>
              <w:rPr>
                <w:b/>
                <w:u w:val="single"/>
              </w:rPr>
            </w:pPr>
          </w:p>
          <w:p w:rsidR="00795E0D" w:rsidRPr="00795E0D" w:rsidRDefault="002520B9" w:rsidP="00A4232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</w:t>
            </w:r>
            <w:r>
              <w:t>ity supervision, parole, or mandatory supervision.</w:t>
            </w:r>
          </w:p>
          <w:p w:rsidR="0017725B" w:rsidRPr="0017725B" w:rsidRDefault="002520B9" w:rsidP="00A42327">
            <w:pPr>
              <w:rPr>
                <w:b/>
                <w:u w:val="single"/>
              </w:rPr>
            </w:pPr>
          </w:p>
        </w:tc>
      </w:tr>
      <w:tr w:rsidR="00307BFD" w:rsidTr="00257635">
        <w:tc>
          <w:tcPr>
            <w:tcW w:w="9582" w:type="dxa"/>
          </w:tcPr>
          <w:p w:rsidR="008423E4" w:rsidRPr="00A8133F" w:rsidRDefault="002520B9" w:rsidP="00A4232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520B9" w:rsidP="00A42327"/>
          <w:p w:rsidR="00795E0D" w:rsidRDefault="002520B9" w:rsidP="00A423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520B9" w:rsidP="00A42327">
            <w:pPr>
              <w:rPr>
                <w:b/>
              </w:rPr>
            </w:pPr>
          </w:p>
        </w:tc>
      </w:tr>
      <w:tr w:rsidR="00307BFD" w:rsidTr="00257635">
        <w:tc>
          <w:tcPr>
            <w:tcW w:w="9582" w:type="dxa"/>
          </w:tcPr>
          <w:p w:rsidR="008423E4" w:rsidRPr="00A8133F" w:rsidRDefault="002520B9" w:rsidP="00A4232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520B9" w:rsidP="00A42327"/>
          <w:p w:rsidR="00391537" w:rsidRDefault="002520B9" w:rsidP="00A42327">
            <w:pPr>
              <w:pStyle w:val="Header"/>
              <w:jc w:val="both"/>
              <w:rPr>
                <w:b/>
              </w:rPr>
            </w:pPr>
            <w:r w:rsidRPr="000E209B">
              <w:t>C.S.</w:t>
            </w:r>
            <w:r w:rsidRPr="00E417A7">
              <w:t>H.B. 2819</w:t>
            </w:r>
            <w:r>
              <w:t xml:space="preserve"> amends the </w:t>
            </w:r>
            <w:r w:rsidRPr="00E417A7">
              <w:t>Education Code</w:t>
            </w:r>
            <w:r>
              <w:t xml:space="preserve"> to </w:t>
            </w:r>
            <w:r>
              <w:t xml:space="preserve">establish </w:t>
            </w:r>
            <w:r>
              <w:t>the</w:t>
            </w:r>
            <w:r>
              <w:t xml:space="preserve"> </w:t>
            </w:r>
            <w:r w:rsidRPr="00E417A7">
              <w:t xml:space="preserve">TexNet </w:t>
            </w:r>
            <w:r w:rsidRPr="00C854BD">
              <w:t>Technical</w:t>
            </w:r>
            <w:r w:rsidRPr="00E417A7">
              <w:t xml:space="preserve"> Advisory Committee</w:t>
            </w:r>
            <w:r>
              <w:t xml:space="preserve"> </w:t>
            </w:r>
            <w:r>
              <w:t xml:space="preserve">as an </w:t>
            </w:r>
            <w:r w:rsidRPr="00C854BD">
              <w:t xml:space="preserve">advisory committee within </w:t>
            </w:r>
            <w:r>
              <w:t>T</w:t>
            </w:r>
            <w:r w:rsidRPr="00C854BD">
              <w:t>he</w:t>
            </w:r>
            <w:r>
              <w:t xml:space="preserve"> </w:t>
            </w:r>
            <w:r w:rsidRPr="00C854BD">
              <w:t>University of Texas Bureau of Economic Geology</w:t>
            </w:r>
            <w:r>
              <w:t xml:space="preserve"> </w:t>
            </w:r>
            <w:r w:rsidRPr="00962E9A">
              <w:t>consist</w:t>
            </w:r>
            <w:r>
              <w:t>ing</w:t>
            </w:r>
            <w:r w:rsidRPr="00962E9A">
              <w:t xml:space="preserve"> of nine members appointed by the governor</w:t>
            </w:r>
            <w:r>
              <w:t xml:space="preserve"> with certain member </w:t>
            </w:r>
            <w:r w:rsidRPr="00A84F28">
              <w:t>qualificati</w:t>
            </w:r>
            <w:r w:rsidRPr="00A84F28">
              <w:t>ons.</w:t>
            </w:r>
            <w:r w:rsidRPr="00A26E45">
              <w:t xml:space="preserve"> The bill </w:t>
            </w:r>
            <w:r>
              <w:t>provides for</w:t>
            </w:r>
            <w:r w:rsidRPr="00A84F28">
              <w:t xml:space="preserve"> </w:t>
            </w:r>
            <w:r w:rsidRPr="00186038">
              <w:t xml:space="preserve">appointment of the chair </w:t>
            </w:r>
            <w:r w:rsidRPr="00E03E27">
              <w:t>of the advisory committee</w:t>
            </w:r>
            <w:r w:rsidRPr="00A84F28">
              <w:t xml:space="preserve"> </w:t>
            </w:r>
            <w:r w:rsidRPr="00186038">
              <w:t xml:space="preserve">and the </w:t>
            </w:r>
            <w:r w:rsidRPr="004C7B8D">
              <w:t>ex officio member</w:t>
            </w:r>
            <w:r>
              <w:t xml:space="preserve">ship of the </w:t>
            </w:r>
            <w:r w:rsidRPr="00186038">
              <w:t xml:space="preserve">director of the </w:t>
            </w:r>
            <w:r w:rsidRPr="00186038">
              <w:t xml:space="preserve">bureau. </w:t>
            </w:r>
            <w:r w:rsidRPr="00A26E45">
              <w:t>The</w:t>
            </w:r>
            <w:r>
              <w:t xml:space="preserve"> bill</w:t>
            </w:r>
            <w:r>
              <w:t xml:space="preserve"> </w:t>
            </w:r>
            <w:r>
              <w:t xml:space="preserve">requires the </w:t>
            </w:r>
            <w:r>
              <w:t xml:space="preserve">advisory </w:t>
            </w:r>
            <w:r>
              <w:t>committee to</w:t>
            </w:r>
            <w:r>
              <w:t xml:space="preserve"> </w:t>
            </w:r>
            <w:r>
              <w:t>d</w:t>
            </w:r>
            <w:r>
              <w:t>evelop</w:t>
            </w:r>
            <w:r>
              <w:t>,</w:t>
            </w:r>
            <w:r>
              <w:t xml:space="preserve"> in </w:t>
            </w:r>
            <w:r w:rsidRPr="00C854BD">
              <w:t>coordination with the bureau</w:t>
            </w:r>
            <w:r>
              <w:t>,</w:t>
            </w:r>
            <w:r>
              <w:t xml:space="preserve"> </w:t>
            </w:r>
            <w:r>
              <w:t xml:space="preserve">recommendations for </w:t>
            </w:r>
            <w:r>
              <w:t xml:space="preserve">a program of work </w:t>
            </w:r>
            <w:r w:rsidRPr="00C854BD">
              <w:t xml:space="preserve">to assist the </w:t>
            </w:r>
            <w:r w:rsidRPr="00F46669">
              <w:t>TexNet seismic monitoring program</w:t>
            </w:r>
            <w:r>
              <w:t xml:space="preserve"> and any research efforts</w:t>
            </w:r>
            <w:r>
              <w:t xml:space="preserve"> </w:t>
            </w:r>
            <w:r w:rsidRPr="00424F49">
              <w:t>affiliated</w:t>
            </w:r>
            <w:r>
              <w:t xml:space="preserve"> with the program </w:t>
            </w:r>
            <w:r w:rsidRPr="00424F49">
              <w:t>in accomplishing the goals of the program</w:t>
            </w:r>
            <w:r>
              <w:t>;</w:t>
            </w:r>
            <w:r>
              <w:t xml:space="preserve"> </w:t>
            </w:r>
            <w:r w:rsidRPr="00F46669">
              <w:t>review and approve or reject expenditures made in connection with the program</w:t>
            </w:r>
            <w:r>
              <w:t>; prepare and</w:t>
            </w:r>
            <w:r>
              <w:t xml:space="preserve"> </w:t>
            </w:r>
            <w:r>
              <w:t>a</w:t>
            </w:r>
            <w:r>
              <w:t>pp</w:t>
            </w:r>
            <w:r>
              <w:t xml:space="preserve">rove an annual budget for the use </w:t>
            </w:r>
            <w:r>
              <w:t xml:space="preserve">of any </w:t>
            </w:r>
            <w:r>
              <w:t xml:space="preserve">funds appropriated </w:t>
            </w:r>
            <w:r>
              <w:t xml:space="preserve">for the program </w:t>
            </w:r>
            <w:r>
              <w:t xml:space="preserve">by the </w:t>
            </w:r>
            <w:r>
              <w:t>l</w:t>
            </w:r>
            <w:r>
              <w:t xml:space="preserve">egislature; </w:t>
            </w:r>
            <w:r>
              <w:t>p</w:t>
            </w:r>
            <w:r>
              <w:t>rovide oversight and input on the acquisition,</w:t>
            </w:r>
            <w:r>
              <w:t xml:space="preserve"> </w:t>
            </w:r>
            <w:r>
              <w:t>deployment</w:t>
            </w:r>
            <w:r>
              <w:t>,</w:t>
            </w:r>
            <w:r>
              <w:t xml:space="preserve"> and operation of new and existing </w:t>
            </w:r>
            <w:r>
              <w:t>p</w:t>
            </w:r>
            <w:r>
              <w:t>rogram equipment;</w:t>
            </w:r>
            <w:r>
              <w:t xml:space="preserve"> </w:t>
            </w:r>
            <w:r>
              <w:t>e</w:t>
            </w:r>
            <w:r>
              <w:t xml:space="preserve">nsure that there is a monthly transmission of </w:t>
            </w:r>
            <w:r>
              <w:t xml:space="preserve">the data collected by seismic equipment </w:t>
            </w:r>
            <w:r w:rsidRPr="00424F49">
              <w:t xml:space="preserve">operated under the program </w:t>
            </w:r>
            <w:r>
              <w:t xml:space="preserve">to the Incorporated Research </w:t>
            </w:r>
            <w:r>
              <w:t xml:space="preserve">Institutions </w:t>
            </w:r>
            <w:r>
              <w:t>for Seismology dat</w:t>
            </w:r>
            <w:r>
              <w:t xml:space="preserve">abase; </w:t>
            </w:r>
            <w:r>
              <w:t>and</w:t>
            </w:r>
            <w:r>
              <w:t xml:space="preserve"> </w:t>
            </w:r>
            <w:r w:rsidRPr="00424F49">
              <w:t xml:space="preserve">solicit from the bureau </w:t>
            </w:r>
            <w:r>
              <w:t xml:space="preserve">quarterly updates regarding </w:t>
            </w:r>
            <w:r w:rsidRPr="00600989">
              <w:t xml:space="preserve">the progress of the program, expenditures made in connection with </w:t>
            </w:r>
            <w:r w:rsidRPr="00600989">
              <w:t>the program, and any other information related to the program that the advisory committee finds necessary</w:t>
            </w:r>
            <w:r>
              <w:t xml:space="preserve">. </w:t>
            </w:r>
            <w:r>
              <w:t>The bill requires the</w:t>
            </w:r>
            <w:r>
              <w:t xml:space="preserve"> advisory</w:t>
            </w:r>
            <w:r>
              <w:t xml:space="preserve"> committee, not </w:t>
            </w:r>
            <w:r w:rsidRPr="00424F49">
              <w:t xml:space="preserve">later than December 1 of each </w:t>
            </w:r>
            <w:r>
              <w:br/>
            </w:r>
            <w:r w:rsidRPr="00424F49">
              <w:t>even-numbered year</w:t>
            </w:r>
            <w:r>
              <w:t xml:space="preserve">, to </w:t>
            </w:r>
            <w:r>
              <w:t>prepare and submit to the governor, the lieutenant governor, and the speaker of the house of representatives a report that includes a review of the use of any funds appropriated for the program by the legislature, a complete listing and accounting of all r</w:t>
            </w:r>
            <w:r>
              <w:t xml:space="preserve">esearch funded through the program, and </w:t>
            </w:r>
            <w:r w:rsidRPr="005752CB">
              <w:t>recommendations related to the ongoing operations and requirements of the program.</w:t>
            </w:r>
            <w:r>
              <w:t xml:space="preserve"> The bill's provisions relating to the </w:t>
            </w:r>
            <w:r>
              <w:t>a</w:t>
            </w:r>
            <w:r w:rsidRPr="005752CB">
              <w:t xml:space="preserve">dvisory </w:t>
            </w:r>
            <w:r>
              <w:t>c</w:t>
            </w:r>
            <w:r w:rsidRPr="005752CB">
              <w:t>ommittee</w:t>
            </w:r>
            <w:r>
              <w:t xml:space="preserve"> expire </w:t>
            </w:r>
            <w:r w:rsidRPr="005752CB">
              <w:t>September 1, 2019.</w:t>
            </w:r>
          </w:p>
          <w:p w:rsidR="00B52566" w:rsidRPr="00835628" w:rsidRDefault="002520B9" w:rsidP="00A4232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07BFD" w:rsidTr="00257635">
        <w:tc>
          <w:tcPr>
            <w:tcW w:w="9582" w:type="dxa"/>
          </w:tcPr>
          <w:p w:rsidR="008423E4" w:rsidRPr="00A8133F" w:rsidRDefault="002520B9" w:rsidP="00A4232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520B9" w:rsidP="00A42327"/>
          <w:p w:rsidR="008423E4" w:rsidRPr="003624F2" w:rsidRDefault="002520B9" w:rsidP="00A423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520B9" w:rsidP="00A42327">
            <w:pPr>
              <w:rPr>
                <w:b/>
              </w:rPr>
            </w:pPr>
          </w:p>
        </w:tc>
      </w:tr>
      <w:tr w:rsidR="00307BFD" w:rsidTr="00257635">
        <w:tc>
          <w:tcPr>
            <w:tcW w:w="9582" w:type="dxa"/>
          </w:tcPr>
          <w:p w:rsidR="00257635" w:rsidRDefault="002520B9" w:rsidP="00A4232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COMPARISON</w:t>
            </w:r>
            <w:r>
              <w:rPr>
                <w:b/>
                <w:u w:val="single"/>
              </w:rPr>
              <w:t xml:space="preserve"> OF ORIGINAL AND SUBSTITUTE</w:t>
            </w:r>
          </w:p>
          <w:p w:rsidR="00D20836" w:rsidRDefault="002520B9" w:rsidP="00A42327">
            <w:pPr>
              <w:jc w:val="both"/>
            </w:pPr>
          </w:p>
          <w:p w:rsidR="00D20836" w:rsidRDefault="002520B9" w:rsidP="00A42327">
            <w:pPr>
              <w:jc w:val="both"/>
            </w:pPr>
            <w:r>
              <w:t xml:space="preserve">While C.S.H.B. </w:t>
            </w:r>
            <w:r w:rsidRPr="00D20836">
              <w:t xml:space="preserve">2819 </w:t>
            </w:r>
            <w:r>
              <w:t>may differ from the original in minor or nonsubstantive ways, the following comparison is organized and formatted in a manner that indicates the substantial differences between the introduced and committee s</w:t>
            </w:r>
            <w:r>
              <w:t>ubstitute versions of the bill.</w:t>
            </w:r>
          </w:p>
          <w:p w:rsidR="00D20836" w:rsidRPr="00D20836" w:rsidRDefault="002520B9" w:rsidP="00A42327">
            <w:pPr>
              <w:jc w:val="both"/>
            </w:pPr>
          </w:p>
        </w:tc>
      </w:tr>
      <w:tr w:rsidR="00307BFD" w:rsidTr="00257635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307BFD" w:rsidTr="007E766B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257635" w:rsidRDefault="002520B9" w:rsidP="00A42327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257635" w:rsidRDefault="002520B9" w:rsidP="00A42327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307BFD" w:rsidTr="007E766B">
              <w:tc>
                <w:tcPr>
                  <w:tcW w:w="4680" w:type="dxa"/>
                  <w:tcMar>
                    <w:right w:w="360" w:type="dxa"/>
                  </w:tcMar>
                </w:tcPr>
                <w:p w:rsidR="00257635" w:rsidRDefault="002520B9" w:rsidP="00A42327">
                  <w:pPr>
                    <w:jc w:val="both"/>
                  </w:pPr>
                  <w:r>
                    <w:t>SECTION 1.  Add new Chapter 157 to the Education Code to read as follows:</w:t>
                  </w:r>
                </w:p>
                <w:p w:rsidR="007E766B" w:rsidRDefault="002520B9" w:rsidP="00A42327">
                  <w:pPr>
                    <w:jc w:val="both"/>
                  </w:pPr>
                </w:p>
                <w:p w:rsidR="00257635" w:rsidRDefault="002520B9" w:rsidP="00A42327">
                  <w:pPr>
                    <w:jc w:val="both"/>
                    <w:rPr>
                      <w:u w:val="single"/>
                    </w:rPr>
                  </w:pPr>
                  <w:r w:rsidRPr="004E3031">
                    <w:rPr>
                      <w:highlight w:val="lightGray"/>
                      <w:u w:val="single"/>
                    </w:rPr>
                    <w:t>CHAPTER 157.  TexNet Seismic Monitoring Advisory Committee</w:t>
                  </w:r>
                </w:p>
                <w:p w:rsidR="000A221C" w:rsidRDefault="002520B9" w:rsidP="00A42327">
                  <w:pPr>
                    <w:jc w:val="both"/>
                  </w:pPr>
                </w:p>
                <w:p w:rsidR="004E3031" w:rsidRDefault="002520B9" w:rsidP="00A42327">
                  <w:pPr>
                    <w:jc w:val="both"/>
                  </w:pPr>
                </w:p>
                <w:p w:rsidR="004E3031" w:rsidRDefault="002520B9" w:rsidP="00A42327">
                  <w:pPr>
                    <w:jc w:val="both"/>
                  </w:pPr>
                </w:p>
                <w:p w:rsidR="004E3031" w:rsidRDefault="002520B9" w:rsidP="00A42327">
                  <w:pPr>
                    <w:jc w:val="both"/>
                  </w:pPr>
                </w:p>
                <w:p w:rsidR="006105F4" w:rsidRDefault="002520B9" w:rsidP="00A42327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157.001   DEFINITION.  </w:t>
                  </w:r>
                  <w:r w:rsidRPr="00186038">
                    <w:rPr>
                      <w:u w:val="single"/>
                    </w:rPr>
                    <w:t>In this Chapter,</w:t>
                  </w:r>
                  <w:r>
                    <w:rPr>
                      <w:u w:val="single"/>
                    </w:rPr>
                    <w:t xml:space="preserve"> the "TexNet Seismic Monitoring Program" means the program administered by the </w:t>
                  </w:r>
                  <w:r w:rsidRPr="00186038">
                    <w:rPr>
                      <w:u w:val="single"/>
                    </w:rPr>
                    <w:t>Texas</w:t>
                  </w:r>
                  <w:r>
                    <w:rPr>
                      <w:u w:val="single"/>
                    </w:rPr>
                    <w:t xml:space="preserve"> Bureau of Economic Geology </w:t>
                  </w:r>
                  <w:r w:rsidRPr="00BF3B67">
                    <w:rPr>
                      <w:highlight w:val="lightGray"/>
                      <w:u w:val="single"/>
                    </w:rPr>
                    <w:t>which oversees an array of equipment for a seismic network to study seismic events in Texas.</w:t>
                  </w:r>
                </w:p>
                <w:p w:rsidR="00257635" w:rsidRDefault="002520B9" w:rsidP="00A42327">
                  <w:pPr>
                    <w:jc w:val="both"/>
                  </w:pPr>
                  <w:r>
                    <w:rPr>
                      <w:u w:val="single"/>
                    </w:rPr>
                    <w:t>Sec. 157.002  TexNet Advisory Committee.</w:t>
                  </w:r>
                </w:p>
                <w:p w:rsidR="00090B79" w:rsidRDefault="002520B9" w:rsidP="00A42327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(1)  </w:t>
                  </w:r>
                  <w:r w:rsidRPr="00090B79">
                    <w:rPr>
                      <w:highlight w:val="lightGray"/>
                      <w:u w:val="single"/>
                    </w:rPr>
                    <w:t>For a</w:t>
                  </w:r>
                  <w:r w:rsidRPr="00090B79">
                    <w:rPr>
                      <w:highlight w:val="lightGray"/>
                      <w:u w:val="single"/>
                    </w:rPr>
                    <w:t>s long as the TexNet Seismic Monitoring Program receives funds from the State of Texas</w:t>
                  </w:r>
                  <w:r>
                    <w:rPr>
                      <w:u w:val="single"/>
                    </w:rPr>
                    <w:t xml:space="preserve">, there shall be a TexNet Advisory Committee composed of </w:t>
                  </w:r>
                  <w:r w:rsidRPr="00090B79">
                    <w:rPr>
                      <w:highlight w:val="lightGray"/>
                      <w:u w:val="single"/>
                    </w:rPr>
                    <w:t>ten members, three to be appointed by the Governor, three to be appointed by the Lieutenant Governor, three to be</w:t>
                  </w:r>
                  <w:r w:rsidRPr="00090B79">
                    <w:rPr>
                      <w:highlight w:val="lightGray"/>
                      <w:u w:val="single"/>
                    </w:rPr>
                    <w:t xml:space="preserve"> appointed by the Speaker of the House</w:t>
                  </w:r>
                  <w:r>
                    <w:rPr>
                      <w:u w:val="single"/>
                    </w:rPr>
                    <w:t xml:space="preserve">, </w:t>
                  </w:r>
                  <w:r w:rsidRPr="00210C8D">
                    <w:rPr>
                      <w:u w:val="single"/>
                    </w:rPr>
                    <w:t xml:space="preserve">and one </w:t>
                  </w:r>
                  <w:r w:rsidRPr="00210C8D">
                    <w:rPr>
                      <w:highlight w:val="lightGray"/>
                      <w:u w:val="single"/>
                    </w:rPr>
                    <w:t>to be an employee</w:t>
                  </w:r>
                  <w:r w:rsidRPr="00210C8D">
                    <w:rPr>
                      <w:u w:val="single"/>
                    </w:rPr>
                    <w:t xml:space="preserve"> of the Texas Railroad</w:t>
                  </w:r>
                  <w:r>
                    <w:rPr>
                      <w:u w:val="single"/>
                    </w:rPr>
                    <w:t xml:space="preserve"> Commission who specializes in seismology, geomechanical engineering, reservoir engineering or another related field </w:t>
                  </w:r>
                  <w:r w:rsidRPr="00210C8D">
                    <w:rPr>
                      <w:highlight w:val="lightGray"/>
                      <w:u w:val="single"/>
                    </w:rPr>
                    <w:t>and is appointed</w:t>
                  </w:r>
                  <w:r>
                    <w:rPr>
                      <w:u w:val="single"/>
                    </w:rPr>
                    <w:t xml:space="preserve"> by the Executive Director of the Te</w:t>
                  </w:r>
                  <w:r>
                    <w:rPr>
                      <w:u w:val="single"/>
                    </w:rPr>
                    <w:t xml:space="preserve">xas Railroad Commission.  </w:t>
                  </w:r>
                </w:p>
                <w:p w:rsidR="00090B79" w:rsidRDefault="002520B9" w:rsidP="00A42327">
                  <w:pPr>
                    <w:jc w:val="both"/>
                    <w:rPr>
                      <w:u w:val="single"/>
                    </w:rPr>
                  </w:pPr>
                  <w:r w:rsidRPr="00D50757">
                    <w:rPr>
                      <w:highlight w:val="lightGray"/>
                      <w:u w:val="single"/>
                    </w:rPr>
                    <w:t xml:space="preserve">At least one appointment each from the Governor, Lieutenant Governor, and Speaker must be </w:t>
                  </w:r>
                  <w:r w:rsidRPr="00210C8D">
                    <w:rPr>
                      <w:u w:val="single"/>
                    </w:rPr>
                    <w:t>from the oil and gas industry.</w:t>
                  </w:r>
                  <w:r>
                    <w:rPr>
                      <w:u w:val="single"/>
                    </w:rPr>
                    <w:t xml:space="preserve">  </w:t>
                  </w:r>
                </w:p>
                <w:p w:rsidR="00090B79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090B79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090B79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090B79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257635" w:rsidRDefault="002520B9" w:rsidP="00A42327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No person affiliated with or under contract for services </w:t>
                  </w:r>
                  <w:r w:rsidRPr="00210C8D">
                    <w:rPr>
                      <w:highlight w:val="lightGray"/>
                      <w:u w:val="single"/>
                    </w:rPr>
                    <w:t>under this program</w:t>
                  </w:r>
                  <w:r>
                    <w:rPr>
                      <w:u w:val="single"/>
                    </w:rPr>
                    <w:t xml:space="preserve"> with the Bureau of Economi</w:t>
                  </w:r>
                  <w:r>
                    <w:rPr>
                      <w:u w:val="single"/>
                    </w:rPr>
                    <w:t>c Geology may serve as a voting member of the Advisory Committee.</w:t>
                  </w:r>
                </w:p>
                <w:p w:rsidR="000A221C" w:rsidRDefault="002520B9" w:rsidP="00A42327">
                  <w:pPr>
                    <w:jc w:val="both"/>
                  </w:pPr>
                </w:p>
                <w:p w:rsidR="000A221C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0A221C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257635" w:rsidRDefault="002520B9" w:rsidP="00A42327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 xml:space="preserve">(2)  The TexNet </w:t>
                  </w:r>
                  <w:r w:rsidRPr="00FE338C">
                    <w:rPr>
                      <w:highlight w:val="lightGray"/>
                      <w:u w:val="single"/>
                    </w:rPr>
                    <w:t>Economic</w:t>
                  </w:r>
                  <w:r>
                    <w:rPr>
                      <w:u w:val="single"/>
                    </w:rPr>
                    <w:t xml:space="preserve"> Advisory Committee shall:</w:t>
                  </w:r>
                </w:p>
                <w:p w:rsidR="00090B79" w:rsidRDefault="002520B9" w:rsidP="00A42327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(a)  Develop </w:t>
                  </w:r>
                  <w:r w:rsidRPr="00210C8D">
                    <w:rPr>
                      <w:highlight w:val="lightGray"/>
                      <w:u w:val="single"/>
                    </w:rPr>
                    <w:t>in consultation</w:t>
                  </w:r>
                  <w:r>
                    <w:rPr>
                      <w:u w:val="single"/>
                    </w:rPr>
                    <w:t xml:space="preserve"> with Bureau of Economic Geology staff a program of work for the TexNet program and any affiliated research efforts </w:t>
                  </w:r>
                  <w:r w:rsidRPr="00210C8D">
                    <w:rPr>
                      <w:highlight w:val="lightGray"/>
                      <w:u w:val="single"/>
                    </w:rPr>
                    <w:t>to include</w:t>
                  </w:r>
                  <w:r>
                    <w:rPr>
                      <w:u w:val="single"/>
                    </w:rPr>
                    <w:t xml:space="preserve"> acquisition and deployment of equipment, </w:t>
                  </w:r>
                </w:p>
                <w:p w:rsidR="0092528D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92528D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92528D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090B79" w:rsidRDefault="002520B9" w:rsidP="00A42327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contracting with vendors, </w:t>
                  </w:r>
                </w:p>
                <w:p w:rsidR="00090B79" w:rsidRDefault="002520B9" w:rsidP="00A42327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determine scope of research program and</w:t>
                  </w:r>
                </w:p>
                <w:p w:rsidR="00090B79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257635" w:rsidRDefault="002520B9" w:rsidP="00A42327">
                  <w:pPr>
                    <w:jc w:val="both"/>
                    <w:rPr>
                      <w:u w:val="single"/>
                    </w:rPr>
                  </w:pPr>
                  <w:r w:rsidRPr="00D50757">
                    <w:rPr>
                      <w:highlight w:val="lightGray"/>
                      <w:u w:val="single"/>
                    </w:rPr>
                    <w:t>any other use</w:t>
                  </w:r>
                  <w:r>
                    <w:rPr>
                      <w:u w:val="single"/>
                    </w:rPr>
                    <w:t xml:space="preserve"> of</w:t>
                  </w:r>
                  <w:r>
                    <w:rPr>
                      <w:u w:val="single"/>
                    </w:rPr>
                    <w:t xml:space="preserve"> funds appropriated by the Legislature for the TexNet Seismic Monitoring Program </w:t>
                  </w:r>
                  <w:r w:rsidRPr="0092528D">
                    <w:rPr>
                      <w:highlight w:val="lightGray"/>
                      <w:u w:val="single"/>
                    </w:rPr>
                    <w:t>and</w:t>
                  </w:r>
                  <w:r>
                    <w:rPr>
                      <w:u w:val="single"/>
                    </w:rPr>
                    <w:t xml:space="preserve"> any associated research.</w:t>
                  </w:r>
                </w:p>
                <w:p w:rsidR="00090B79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92528D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92528D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257635" w:rsidRDefault="002520B9" w:rsidP="00A42327">
                  <w:pPr>
                    <w:jc w:val="both"/>
                  </w:pPr>
                  <w:r>
                    <w:rPr>
                      <w:u w:val="single"/>
                    </w:rPr>
                    <w:t>(b)  Approve an annual budget for the use funds appropriated by the Legislature to the TexNet Seismic Monitoring Program;</w:t>
                  </w:r>
                </w:p>
                <w:p w:rsidR="00257635" w:rsidRDefault="002520B9" w:rsidP="00A42327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(c)  provide oversigh</w:t>
                  </w:r>
                  <w:r>
                    <w:rPr>
                      <w:u w:val="single"/>
                    </w:rPr>
                    <w:t>t and input on the acquisition,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deployment and operation of new and existing Program equipment;</w:t>
                  </w:r>
                </w:p>
                <w:p w:rsidR="0092528D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257635" w:rsidRDefault="002520B9" w:rsidP="00A42327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(d)  Prepare a biennial report to be delivered </w:t>
                  </w:r>
                  <w:r w:rsidRPr="001D3D7D">
                    <w:rPr>
                      <w:highlight w:val="lightGray"/>
                      <w:u w:val="single"/>
                    </w:rPr>
                    <w:t>the House Energy Committee and the Senate Natural Resources and Economic Development Committees</w:t>
                  </w:r>
                  <w:r>
                    <w:rPr>
                      <w:u w:val="single"/>
                    </w:rPr>
                    <w:t xml:space="preserve">  on or before De</w:t>
                  </w:r>
                  <w:r>
                    <w:rPr>
                      <w:u w:val="single"/>
                    </w:rPr>
                    <w:t xml:space="preserve">cember 1 of even numbered years regarding the use of the funds, a </w:t>
                  </w:r>
                  <w:r w:rsidRPr="0092528D">
                    <w:rPr>
                      <w:u w:val="single"/>
                    </w:rPr>
                    <w:t>complete</w:t>
                  </w:r>
                  <w:r>
                    <w:rPr>
                      <w:u w:val="single"/>
                    </w:rPr>
                    <w:t xml:space="preserve"> listing and accounting of all research funded through the program including a listing of contractors, itemized budget for each program element, </w:t>
                  </w:r>
                  <w:r w:rsidRPr="0092528D">
                    <w:rPr>
                      <w:highlight w:val="lightGray"/>
                      <w:u w:val="single"/>
                    </w:rPr>
                    <w:t>complete</w:t>
                  </w:r>
                  <w:r>
                    <w:rPr>
                      <w:u w:val="single"/>
                    </w:rPr>
                    <w:t xml:space="preserve"> listing of geographic coverage of the Program, </w:t>
                  </w:r>
                  <w:r w:rsidRPr="001D3D7D">
                    <w:rPr>
                      <w:highlight w:val="lightGray"/>
                      <w:u w:val="single"/>
                    </w:rPr>
                    <w:t>important research undertaken and any findings or progress of the research for the Program</w:t>
                  </w:r>
                  <w:r>
                    <w:rPr>
                      <w:u w:val="single"/>
                    </w:rPr>
                    <w:t>, and recommendations related to the ongoing operations and requirements of the Program;</w:t>
                  </w:r>
                </w:p>
                <w:p w:rsidR="0092528D" w:rsidRDefault="002520B9" w:rsidP="00A42327">
                  <w:pPr>
                    <w:jc w:val="both"/>
                  </w:pPr>
                </w:p>
                <w:p w:rsidR="00257635" w:rsidRDefault="002520B9" w:rsidP="00A42327">
                  <w:pPr>
                    <w:jc w:val="both"/>
                  </w:pPr>
                  <w:r>
                    <w:rPr>
                      <w:u w:val="single"/>
                    </w:rPr>
                    <w:t xml:space="preserve">(e)  Ensure that there is a </w:t>
                  </w:r>
                  <w:r>
                    <w:rPr>
                      <w:u w:val="single"/>
                    </w:rPr>
                    <w:t xml:space="preserve">monthly transmission of the data collected by the seismic equipment to the Incorporated Research </w:t>
                  </w:r>
                  <w:r w:rsidRPr="0092528D">
                    <w:rPr>
                      <w:highlight w:val="lightGray"/>
                      <w:u w:val="single"/>
                    </w:rPr>
                    <w:t>Institutes</w:t>
                  </w:r>
                  <w:r>
                    <w:rPr>
                      <w:u w:val="single"/>
                    </w:rPr>
                    <w:t xml:space="preserve"> for Seismology database; and</w:t>
                  </w:r>
                </w:p>
                <w:p w:rsidR="00257635" w:rsidRDefault="002520B9" w:rsidP="00A42327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(f)  </w:t>
                  </w:r>
                  <w:r w:rsidRPr="005C56EB">
                    <w:rPr>
                      <w:highlight w:val="lightGray"/>
                      <w:u w:val="single"/>
                    </w:rPr>
                    <w:t>Receive</w:t>
                  </w:r>
                  <w:r>
                    <w:rPr>
                      <w:u w:val="single"/>
                    </w:rPr>
                    <w:t xml:space="preserve"> quarterly updates from the Bureau of Economic Geology regarding the progress of the program, expenditures </w:t>
                  </w:r>
                  <w:r>
                    <w:rPr>
                      <w:u w:val="single"/>
                    </w:rPr>
                    <w:t xml:space="preserve">made in connection with the Program </w:t>
                  </w:r>
                  <w:r w:rsidRPr="005C56EB">
                    <w:rPr>
                      <w:highlight w:val="lightGray"/>
                      <w:u w:val="single"/>
                    </w:rPr>
                    <w:t>as approved by the TexNet Advisory Committee</w:t>
                  </w:r>
                  <w:r>
                    <w:rPr>
                      <w:u w:val="single"/>
                    </w:rPr>
                    <w:t xml:space="preserve">, and any other information related to the program </w:t>
                  </w:r>
                  <w:r w:rsidRPr="005C56EB">
                    <w:rPr>
                      <w:highlight w:val="lightGray"/>
                      <w:u w:val="single"/>
                    </w:rPr>
                    <w:t>requested of the Bureau of Economic Geology</w:t>
                  </w:r>
                  <w:r>
                    <w:rPr>
                      <w:u w:val="single"/>
                    </w:rPr>
                    <w:t>.</w:t>
                  </w:r>
                </w:p>
                <w:p w:rsidR="0092528D" w:rsidRDefault="002520B9" w:rsidP="00A42327">
                  <w:pPr>
                    <w:jc w:val="both"/>
                  </w:pPr>
                </w:p>
                <w:p w:rsidR="00257635" w:rsidRPr="005C56EB" w:rsidRDefault="002520B9" w:rsidP="00A42327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(See Sec. </w:t>
                  </w:r>
                  <w:r w:rsidRPr="005C56EB">
                    <w:rPr>
                      <w:i/>
                    </w:rPr>
                    <w:t>157.002</w:t>
                  </w:r>
                  <w:r>
                    <w:rPr>
                      <w:i/>
                    </w:rPr>
                    <w:t>(2)</w:t>
                  </w:r>
                  <w:r>
                    <w:rPr>
                      <w:i/>
                    </w:rPr>
                    <w:t>(d)</w:t>
                  </w:r>
                  <w:r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above</w:t>
                  </w:r>
                  <w:r>
                    <w:rPr>
                      <w:i/>
                    </w:rPr>
                    <w:t>.)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0A221C" w:rsidRDefault="002520B9" w:rsidP="00A42327">
                  <w:pPr>
                    <w:jc w:val="both"/>
                  </w:pPr>
                  <w:r>
                    <w:lastRenderedPageBreak/>
                    <w:t>SECTION 1.  Chapter 67, Education Code, is ame</w:t>
                  </w:r>
                  <w:r>
                    <w:t>nded by adding Subchapter E to read as follows:</w:t>
                  </w:r>
                </w:p>
                <w:p w:rsidR="000A221C" w:rsidRDefault="002520B9" w:rsidP="00A42327">
                  <w:pPr>
                    <w:jc w:val="both"/>
                  </w:pPr>
                  <w:r w:rsidRPr="004E3031">
                    <w:rPr>
                      <w:highlight w:val="lightGray"/>
                      <w:u w:val="single"/>
                    </w:rPr>
                    <w:t>SUBCHAPTER E.  THE UNIVERSITY OF TEXAS BUREAU OF ECONOMIC GEOLOGY</w:t>
                  </w:r>
                </w:p>
                <w:p w:rsidR="000A221C" w:rsidRDefault="002520B9" w:rsidP="00A42327">
                  <w:pPr>
                    <w:jc w:val="both"/>
                    <w:rPr>
                      <w:u w:val="single"/>
                    </w:rPr>
                  </w:pPr>
                  <w:r w:rsidRPr="004E3031">
                    <w:rPr>
                      <w:highlight w:val="lightGray"/>
                      <w:u w:val="single"/>
                    </w:rPr>
                    <w:t>Sec. 67.71.  DEFINITION.  In this subchapter, "bureau" means The University of Texas Bureau of Economic Geology.</w:t>
                  </w:r>
                </w:p>
                <w:p w:rsidR="000A221C" w:rsidRDefault="002520B9" w:rsidP="00A42327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67.72.  TEXNET TECHNICAL ADVISORY COMMITTEE.  (a)  </w:t>
                  </w:r>
                  <w:r w:rsidRPr="00186038">
                    <w:rPr>
                      <w:u w:val="single"/>
                    </w:rPr>
                    <w:t>In this section,</w:t>
                  </w:r>
                  <w:r>
                    <w:rPr>
                      <w:u w:val="single"/>
                    </w:rPr>
                    <w:t xml:space="preserve"> "program" means the TexNet seismic monitoring program administered by the bureau.</w:t>
                  </w:r>
                </w:p>
                <w:p w:rsidR="00BF3B67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BF3B67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0A221C" w:rsidRDefault="002520B9" w:rsidP="00A42327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(b)  The TexNet </w:t>
                  </w:r>
                  <w:r w:rsidRPr="00BF3B67">
                    <w:rPr>
                      <w:highlight w:val="lightGray"/>
                      <w:u w:val="single"/>
                    </w:rPr>
                    <w:t>Technical</w:t>
                  </w:r>
                  <w:r>
                    <w:rPr>
                      <w:u w:val="single"/>
                    </w:rPr>
                    <w:t xml:space="preserve"> Advisory Committee </w:t>
                  </w:r>
                  <w:r w:rsidRPr="00BF3B67">
                    <w:rPr>
                      <w:highlight w:val="lightGray"/>
                      <w:u w:val="single"/>
                    </w:rPr>
                    <w:t>is established as an advisory committee within the bur</w:t>
                  </w:r>
                  <w:r w:rsidRPr="00BF3B67">
                    <w:rPr>
                      <w:highlight w:val="lightGray"/>
                      <w:u w:val="single"/>
                    </w:rPr>
                    <w:t>eau</w:t>
                  </w:r>
                  <w:r>
                    <w:rPr>
                      <w:u w:val="single"/>
                    </w:rPr>
                    <w:t>.</w:t>
                  </w:r>
                </w:p>
                <w:p w:rsidR="000A221C" w:rsidRDefault="002520B9" w:rsidP="00A42327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(c)  The advisory committee consists of </w:t>
                  </w:r>
                  <w:r w:rsidRPr="00090B79">
                    <w:rPr>
                      <w:highlight w:val="lightGray"/>
                      <w:u w:val="single"/>
                    </w:rPr>
                    <w:t>nine members appointed by the governor, including:</w:t>
                  </w:r>
                </w:p>
                <w:p w:rsidR="00090B79" w:rsidRDefault="002520B9" w:rsidP="00A42327">
                  <w:pPr>
                    <w:jc w:val="both"/>
                  </w:pPr>
                </w:p>
                <w:p w:rsidR="006105F4" w:rsidRDefault="002520B9" w:rsidP="00A42327">
                  <w:pPr>
                    <w:jc w:val="both"/>
                  </w:pPr>
                </w:p>
                <w:p w:rsidR="000A221C" w:rsidRDefault="002520B9" w:rsidP="00A42327">
                  <w:pPr>
                    <w:jc w:val="both"/>
                  </w:pPr>
                  <w:r>
                    <w:rPr>
                      <w:u w:val="single"/>
                    </w:rPr>
                    <w:t xml:space="preserve">(1)  one </w:t>
                  </w:r>
                  <w:r w:rsidRPr="00210C8D">
                    <w:rPr>
                      <w:highlight w:val="lightGray"/>
                      <w:u w:val="single"/>
                    </w:rPr>
                    <w:t>representative</w:t>
                  </w:r>
                  <w:r>
                    <w:rPr>
                      <w:u w:val="single"/>
                    </w:rPr>
                    <w:t xml:space="preserve"> of the Railroad Commission of Texas who specializes in seismology, geomechanical engineering, reservoir engineering, or another related field </w:t>
                  </w:r>
                  <w:r w:rsidRPr="00210C8D">
                    <w:rPr>
                      <w:highlight w:val="lightGray"/>
                      <w:u w:val="single"/>
                    </w:rPr>
                    <w:t>recommended to the governor</w:t>
                  </w:r>
                  <w:r>
                    <w:rPr>
                      <w:u w:val="single"/>
                    </w:rPr>
                    <w:t xml:space="preserve"> by the executive director of the Railroad Commission of Texas; and</w:t>
                  </w:r>
                </w:p>
                <w:p w:rsidR="000A221C" w:rsidRDefault="002520B9" w:rsidP="00A42327">
                  <w:pPr>
                    <w:jc w:val="both"/>
                  </w:pPr>
                  <w:r w:rsidRPr="00210C8D">
                    <w:rPr>
                      <w:highlight w:val="lightGray"/>
                      <w:u w:val="single"/>
                    </w:rPr>
                    <w:t xml:space="preserve">(2)  at </w:t>
                  </w:r>
                  <w:r w:rsidRPr="00D50757">
                    <w:rPr>
                      <w:highlight w:val="lightGray"/>
                      <w:u w:val="single"/>
                    </w:rPr>
                    <w:t>least thre</w:t>
                  </w:r>
                  <w:r w:rsidRPr="00D50757">
                    <w:rPr>
                      <w:highlight w:val="lightGray"/>
                      <w:u w:val="single"/>
                    </w:rPr>
                    <w:t xml:space="preserve">e representatives </w:t>
                  </w:r>
                  <w:r w:rsidRPr="00210C8D">
                    <w:rPr>
                      <w:u w:val="single"/>
                    </w:rPr>
                    <w:t xml:space="preserve">from the oil and gas industry, </w:t>
                  </w:r>
                  <w:r w:rsidRPr="00D50757">
                    <w:rPr>
                      <w:highlight w:val="lightGray"/>
                      <w:u w:val="single"/>
                    </w:rPr>
                    <w:t>not to include the representative appointed under Subdivision</w:t>
                  </w:r>
                  <w:r>
                    <w:rPr>
                      <w:u w:val="single"/>
                    </w:rPr>
                    <w:t xml:space="preserve"> </w:t>
                  </w:r>
                  <w:r w:rsidRPr="00210C8D">
                    <w:rPr>
                      <w:highlight w:val="lightGray"/>
                      <w:u w:val="single"/>
                    </w:rPr>
                    <w:t>(1).</w:t>
                  </w:r>
                </w:p>
                <w:p w:rsidR="000A221C" w:rsidRDefault="002520B9" w:rsidP="00A42327">
                  <w:pPr>
                    <w:jc w:val="both"/>
                  </w:pPr>
                  <w:r w:rsidRPr="00210C8D">
                    <w:rPr>
                      <w:highlight w:val="lightGray"/>
                      <w:u w:val="single"/>
                    </w:rPr>
                    <w:t xml:space="preserve">(d)  The </w:t>
                  </w:r>
                  <w:r w:rsidRPr="00090B79">
                    <w:rPr>
                      <w:highlight w:val="lightGray"/>
                      <w:u w:val="single"/>
                    </w:rPr>
                    <w:t>governor shall designate a member of the advisory committee as the chair of the advisory committee to serve in that capacity at the</w:t>
                  </w:r>
                  <w:r w:rsidRPr="00090B79">
                    <w:rPr>
                      <w:highlight w:val="lightGray"/>
                      <w:u w:val="single"/>
                    </w:rPr>
                    <w:t xml:space="preserve"> pleasure of the governor.</w:t>
                  </w:r>
                </w:p>
                <w:p w:rsidR="000A221C" w:rsidRDefault="002520B9" w:rsidP="00A42327">
                  <w:pPr>
                    <w:jc w:val="both"/>
                  </w:pPr>
                  <w:r>
                    <w:rPr>
                      <w:u w:val="single"/>
                    </w:rPr>
                    <w:t>(e)  A person affiliated with the bureau or under contract for services with the bureau may not serve as a voting member of the advisory committee.</w:t>
                  </w:r>
                </w:p>
                <w:p w:rsidR="00090B79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090B79" w:rsidRPr="00090B79" w:rsidRDefault="002520B9" w:rsidP="00A42327">
                  <w:pPr>
                    <w:jc w:val="both"/>
                    <w:rPr>
                      <w:u w:val="single"/>
                    </w:rPr>
                  </w:pPr>
                  <w:r w:rsidRPr="00090B79">
                    <w:rPr>
                      <w:highlight w:val="lightGray"/>
                      <w:u w:val="single"/>
                    </w:rPr>
                    <w:t>(f)  The director of the bureau shall serve, ex officio, as a nonvoting member o</w:t>
                  </w:r>
                  <w:r w:rsidRPr="00090B79">
                    <w:rPr>
                      <w:highlight w:val="lightGray"/>
                      <w:u w:val="single"/>
                    </w:rPr>
                    <w:t>f the advisory committee.</w:t>
                  </w:r>
                </w:p>
                <w:p w:rsidR="000A221C" w:rsidRDefault="002520B9" w:rsidP="00A42327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lastRenderedPageBreak/>
                    <w:t>(g)  The advisory committee shall:</w:t>
                  </w:r>
                </w:p>
                <w:p w:rsidR="000A221C" w:rsidRDefault="002520B9" w:rsidP="00A42327">
                  <w:pPr>
                    <w:jc w:val="both"/>
                  </w:pPr>
                </w:p>
                <w:p w:rsidR="000A221C" w:rsidRDefault="002520B9" w:rsidP="00A42327">
                  <w:pPr>
                    <w:jc w:val="both"/>
                  </w:pPr>
                  <w:r>
                    <w:rPr>
                      <w:u w:val="single"/>
                    </w:rPr>
                    <w:t>(</w:t>
                  </w:r>
                  <w:r w:rsidRPr="00210C8D">
                    <w:rPr>
                      <w:u w:val="single"/>
                    </w:rPr>
                    <w:t xml:space="preserve">1)  </w:t>
                  </w:r>
                  <w:r w:rsidRPr="00210C8D">
                    <w:rPr>
                      <w:highlight w:val="lightGray"/>
                      <w:u w:val="single"/>
                    </w:rPr>
                    <w:t>in coordination</w:t>
                  </w:r>
                  <w:r>
                    <w:rPr>
                      <w:u w:val="single"/>
                    </w:rPr>
                    <w:t xml:space="preserve"> with the bureau, </w:t>
                  </w:r>
                  <w:r w:rsidRPr="00210C8D">
                    <w:rPr>
                      <w:u w:val="single"/>
                    </w:rPr>
                    <w:t>develop</w:t>
                  </w:r>
                  <w:r w:rsidRPr="00D50757">
                    <w:rPr>
                      <w:highlight w:val="lightGray"/>
                      <w:u w:val="single"/>
                    </w:rPr>
                    <w:t xml:space="preserve"> recommendations for</w:t>
                  </w:r>
                  <w:r>
                    <w:rPr>
                      <w:u w:val="single"/>
                    </w:rPr>
                    <w:t xml:space="preserve"> a program of work </w:t>
                  </w:r>
                  <w:r w:rsidRPr="00210C8D">
                    <w:rPr>
                      <w:highlight w:val="lightGray"/>
                      <w:u w:val="single"/>
                    </w:rPr>
                    <w:t>t</w:t>
                  </w:r>
                  <w:r w:rsidRPr="00D50757">
                    <w:rPr>
                      <w:highlight w:val="lightGray"/>
                      <w:u w:val="single"/>
                    </w:rPr>
                    <w:t>o assist</w:t>
                  </w:r>
                  <w:r>
                    <w:rPr>
                      <w:u w:val="single"/>
                    </w:rPr>
                    <w:t xml:space="preserve"> the program and any research efforts affiliated with the program </w:t>
                  </w:r>
                  <w:r w:rsidRPr="00D50757">
                    <w:rPr>
                      <w:highlight w:val="lightGray"/>
                      <w:u w:val="single"/>
                    </w:rPr>
                    <w:t>in accomplishing the goals of the p</w:t>
                  </w:r>
                  <w:r w:rsidRPr="00D50757">
                    <w:rPr>
                      <w:highlight w:val="lightGray"/>
                      <w:u w:val="single"/>
                    </w:rPr>
                    <w:t>rogram</w:t>
                  </w:r>
                  <w:r w:rsidRPr="00210C8D">
                    <w:rPr>
                      <w:highlight w:val="lightGray"/>
                      <w:u w:val="single"/>
                    </w:rPr>
                    <w:t>, including recommendations regarding:</w:t>
                  </w:r>
                </w:p>
                <w:p w:rsidR="000A221C" w:rsidRDefault="002520B9" w:rsidP="00A42327">
                  <w:pPr>
                    <w:jc w:val="both"/>
                  </w:pPr>
                  <w:r>
                    <w:rPr>
                      <w:u w:val="single"/>
                    </w:rPr>
                    <w:t>(A)  the acquisition and deployment of equipment;</w:t>
                  </w:r>
                </w:p>
                <w:p w:rsidR="000A221C" w:rsidRDefault="002520B9" w:rsidP="00A42327">
                  <w:pPr>
                    <w:jc w:val="both"/>
                  </w:pPr>
                  <w:r>
                    <w:rPr>
                      <w:u w:val="single"/>
                    </w:rPr>
                    <w:t>(B)  contracting with vendors;</w:t>
                  </w:r>
                </w:p>
                <w:p w:rsidR="000A221C" w:rsidRDefault="002520B9" w:rsidP="00A42327">
                  <w:pPr>
                    <w:jc w:val="both"/>
                  </w:pPr>
                  <w:r>
                    <w:rPr>
                      <w:u w:val="single"/>
                    </w:rPr>
                    <w:t xml:space="preserve">(C)  determining the scope of research programs </w:t>
                  </w:r>
                  <w:r w:rsidRPr="0092528D">
                    <w:rPr>
                      <w:highlight w:val="lightGray"/>
                      <w:u w:val="single"/>
                    </w:rPr>
                    <w:t>associated with the program</w:t>
                  </w:r>
                  <w:r>
                    <w:rPr>
                      <w:u w:val="single"/>
                    </w:rPr>
                    <w:t>; and</w:t>
                  </w:r>
                </w:p>
                <w:p w:rsidR="000A221C" w:rsidRDefault="002520B9" w:rsidP="00A42327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(D)  </w:t>
                  </w:r>
                  <w:r w:rsidRPr="00D50757">
                    <w:rPr>
                      <w:highlight w:val="lightGray"/>
                      <w:u w:val="single"/>
                    </w:rPr>
                    <w:t>determining the scope of any use</w:t>
                  </w:r>
                  <w:r>
                    <w:rPr>
                      <w:u w:val="single"/>
                    </w:rPr>
                    <w:t xml:space="preserve"> of funds ap</w:t>
                  </w:r>
                  <w:r>
                    <w:rPr>
                      <w:u w:val="single"/>
                    </w:rPr>
                    <w:t xml:space="preserve">propriated by the legislature for the program </w:t>
                  </w:r>
                  <w:r w:rsidRPr="0092528D">
                    <w:rPr>
                      <w:highlight w:val="lightGray"/>
                      <w:u w:val="single"/>
                    </w:rPr>
                    <w:t>or</w:t>
                  </w:r>
                  <w:r>
                    <w:rPr>
                      <w:u w:val="single"/>
                    </w:rPr>
                    <w:t xml:space="preserve"> associated research;</w:t>
                  </w:r>
                </w:p>
                <w:p w:rsidR="0092528D" w:rsidRDefault="002520B9" w:rsidP="00A42327">
                  <w:pPr>
                    <w:jc w:val="both"/>
                  </w:pPr>
                </w:p>
                <w:p w:rsidR="000A221C" w:rsidRDefault="002520B9" w:rsidP="00A42327">
                  <w:pPr>
                    <w:jc w:val="both"/>
                  </w:pPr>
                  <w:r w:rsidRPr="00090B79">
                    <w:rPr>
                      <w:highlight w:val="lightGray"/>
                      <w:u w:val="single"/>
                    </w:rPr>
                    <w:t>(2)  review and approve or reject expenditures made in connection with the program;</w:t>
                  </w:r>
                </w:p>
                <w:p w:rsidR="000A221C" w:rsidRDefault="002520B9" w:rsidP="00A42327">
                  <w:pPr>
                    <w:jc w:val="both"/>
                  </w:pPr>
                  <w:r>
                    <w:rPr>
                      <w:u w:val="single"/>
                    </w:rPr>
                    <w:t xml:space="preserve">(3)  </w:t>
                  </w:r>
                  <w:r w:rsidRPr="006105F4">
                    <w:rPr>
                      <w:highlight w:val="lightGray"/>
                      <w:u w:val="single"/>
                    </w:rPr>
                    <w:t>prepare and</w:t>
                  </w:r>
                  <w:r>
                    <w:rPr>
                      <w:u w:val="single"/>
                    </w:rPr>
                    <w:t xml:space="preserve"> approve an annual budget for the use of any funds appropriated for the program by th</w:t>
                  </w:r>
                  <w:r>
                    <w:rPr>
                      <w:u w:val="single"/>
                    </w:rPr>
                    <w:t>e legislature;</w:t>
                  </w:r>
                </w:p>
                <w:p w:rsidR="000A221C" w:rsidRDefault="002520B9" w:rsidP="00A42327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(4)  provide oversight and input on the acquisition, deployment, and operation of new and existing program equipment;</w:t>
                  </w:r>
                </w:p>
                <w:p w:rsidR="0092528D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6105F4" w:rsidRPr="001459A8" w:rsidRDefault="002520B9" w:rsidP="00A42327">
                  <w:pPr>
                    <w:jc w:val="both"/>
                    <w:rPr>
                      <w:i/>
                    </w:rPr>
                  </w:pPr>
                  <w:r w:rsidRPr="0092528D">
                    <w:rPr>
                      <w:i/>
                    </w:rPr>
                    <w:t>(See Sec. 67.72(h)</w:t>
                  </w:r>
                  <w:r>
                    <w:rPr>
                      <w:i/>
                    </w:rPr>
                    <w:t>,</w:t>
                  </w:r>
                  <w:r w:rsidRPr="0092528D">
                    <w:rPr>
                      <w:i/>
                    </w:rPr>
                    <w:t xml:space="preserve"> below.)</w:t>
                  </w:r>
                </w:p>
                <w:p w:rsidR="006105F4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6105F4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6105F4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6105F4" w:rsidRDefault="002520B9" w:rsidP="00A42327">
                  <w:pPr>
                    <w:jc w:val="both"/>
                  </w:pPr>
                </w:p>
                <w:p w:rsidR="00391537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391537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391537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391537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391537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391537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391537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391537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391537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5C56EB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391537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92528D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0A221C" w:rsidRDefault="002520B9" w:rsidP="00A42327">
                  <w:pPr>
                    <w:jc w:val="both"/>
                  </w:pPr>
                  <w:r>
                    <w:rPr>
                      <w:u w:val="single"/>
                    </w:rPr>
                    <w:t xml:space="preserve">(5)  ensure that there is a monthly transmission of the data collected by seismic equipment </w:t>
                  </w:r>
                  <w:r w:rsidRPr="0092528D">
                    <w:rPr>
                      <w:highlight w:val="lightGray"/>
                      <w:u w:val="single"/>
                    </w:rPr>
                    <w:t>operated under the program</w:t>
                  </w:r>
                  <w:r>
                    <w:rPr>
                      <w:u w:val="single"/>
                    </w:rPr>
                    <w:t xml:space="preserve"> to the Incorporated Research </w:t>
                  </w:r>
                  <w:r w:rsidRPr="0092528D">
                    <w:rPr>
                      <w:highlight w:val="lightGray"/>
                      <w:u w:val="single"/>
                    </w:rPr>
                    <w:t>Institutions</w:t>
                  </w:r>
                  <w:r>
                    <w:rPr>
                      <w:u w:val="single"/>
                    </w:rPr>
                    <w:t xml:space="preserve"> for Seismology database; and</w:t>
                  </w:r>
                </w:p>
                <w:p w:rsidR="000A221C" w:rsidRDefault="002520B9" w:rsidP="00A42327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(6)  </w:t>
                  </w:r>
                  <w:r w:rsidRPr="005C56EB">
                    <w:rPr>
                      <w:highlight w:val="lightGray"/>
                      <w:u w:val="single"/>
                    </w:rPr>
                    <w:t>solicit</w:t>
                  </w:r>
                  <w:r>
                    <w:rPr>
                      <w:u w:val="single"/>
                    </w:rPr>
                    <w:t xml:space="preserve"> from the bureau quarterly updates regarding the progr</w:t>
                  </w:r>
                  <w:r>
                    <w:rPr>
                      <w:u w:val="single"/>
                    </w:rPr>
                    <w:t xml:space="preserve">ess of the program, expenditures made in connection with the program, and any other information related to the program </w:t>
                  </w:r>
                  <w:r w:rsidRPr="005C56EB">
                    <w:rPr>
                      <w:highlight w:val="lightGray"/>
                      <w:u w:val="single"/>
                    </w:rPr>
                    <w:t>that the advisory committee finds necessary</w:t>
                  </w:r>
                  <w:r>
                    <w:rPr>
                      <w:u w:val="single"/>
                    </w:rPr>
                    <w:t>.</w:t>
                  </w:r>
                </w:p>
                <w:p w:rsidR="00391537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391537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92528D" w:rsidRDefault="002520B9" w:rsidP="00A42327">
                  <w:pPr>
                    <w:jc w:val="both"/>
                    <w:rPr>
                      <w:u w:val="single"/>
                    </w:rPr>
                  </w:pPr>
                </w:p>
                <w:p w:rsidR="000A221C" w:rsidRDefault="002520B9" w:rsidP="00A42327">
                  <w:pPr>
                    <w:jc w:val="both"/>
                  </w:pPr>
                  <w:r>
                    <w:rPr>
                      <w:u w:val="single"/>
                    </w:rPr>
                    <w:t>(h)  Not later than December 1 of each even-numbered year, the advisory committee shall p</w:t>
                  </w:r>
                  <w:r>
                    <w:rPr>
                      <w:u w:val="single"/>
                    </w:rPr>
                    <w:t xml:space="preserve">repare and submit to </w:t>
                  </w:r>
                  <w:r w:rsidRPr="001D3D7D">
                    <w:rPr>
                      <w:highlight w:val="lightGray"/>
                      <w:u w:val="single"/>
                    </w:rPr>
                    <w:t>the governor, the lieutenant governor, and the speaker of the house of representatives</w:t>
                  </w:r>
                  <w:r>
                    <w:rPr>
                      <w:u w:val="single"/>
                    </w:rPr>
                    <w:t xml:space="preserve"> a report that includes:</w:t>
                  </w:r>
                </w:p>
                <w:p w:rsidR="000A221C" w:rsidRDefault="002520B9" w:rsidP="00A42327">
                  <w:pPr>
                    <w:jc w:val="both"/>
                  </w:pPr>
                  <w:r>
                    <w:rPr>
                      <w:u w:val="single"/>
                    </w:rPr>
                    <w:t xml:space="preserve">(1)  </w:t>
                  </w:r>
                  <w:r w:rsidRPr="001D3D7D">
                    <w:rPr>
                      <w:highlight w:val="lightGray"/>
                      <w:u w:val="single"/>
                    </w:rPr>
                    <w:t>a review of</w:t>
                  </w:r>
                  <w:r>
                    <w:rPr>
                      <w:u w:val="single"/>
                    </w:rPr>
                    <w:t xml:space="preserve"> the use of any funds </w:t>
                  </w:r>
                  <w:r w:rsidRPr="001D3D7D">
                    <w:rPr>
                      <w:highlight w:val="lightGray"/>
                      <w:u w:val="single"/>
                    </w:rPr>
                    <w:t>appropriated for the program by the legislature</w:t>
                  </w:r>
                  <w:r>
                    <w:rPr>
                      <w:u w:val="single"/>
                    </w:rPr>
                    <w:t>;</w:t>
                  </w:r>
                </w:p>
                <w:p w:rsidR="000A221C" w:rsidRDefault="002520B9" w:rsidP="00A42327">
                  <w:pPr>
                    <w:jc w:val="both"/>
                  </w:pPr>
                  <w:r>
                    <w:rPr>
                      <w:u w:val="single"/>
                    </w:rPr>
                    <w:t>(2)  a complete listing and accountin</w:t>
                  </w:r>
                  <w:r>
                    <w:rPr>
                      <w:u w:val="single"/>
                    </w:rPr>
                    <w:t>g of all research funded through the program, including:</w:t>
                  </w:r>
                </w:p>
                <w:p w:rsidR="000A221C" w:rsidRDefault="002520B9" w:rsidP="00A42327">
                  <w:pPr>
                    <w:jc w:val="both"/>
                  </w:pPr>
                  <w:r>
                    <w:rPr>
                      <w:u w:val="single"/>
                    </w:rPr>
                    <w:t xml:space="preserve">(A)  a list of contractors </w:t>
                  </w:r>
                  <w:r w:rsidRPr="001D3D7D">
                    <w:rPr>
                      <w:highlight w:val="lightGray"/>
                      <w:u w:val="single"/>
                    </w:rPr>
                    <w:t>employed under the program</w:t>
                  </w:r>
                  <w:r>
                    <w:rPr>
                      <w:u w:val="single"/>
                    </w:rPr>
                    <w:t>;</w:t>
                  </w:r>
                </w:p>
                <w:p w:rsidR="000A221C" w:rsidRDefault="002520B9" w:rsidP="00A42327">
                  <w:pPr>
                    <w:jc w:val="both"/>
                  </w:pPr>
                  <w:r>
                    <w:rPr>
                      <w:u w:val="single"/>
                    </w:rPr>
                    <w:t>(B)  an itemized budget for each program element; and</w:t>
                  </w:r>
                </w:p>
                <w:p w:rsidR="000A221C" w:rsidRDefault="002520B9" w:rsidP="00A42327">
                  <w:pPr>
                    <w:jc w:val="both"/>
                  </w:pPr>
                  <w:r>
                    <w:rPr>
                      <w:u w:val="single"/>
                    </w:rPr>
                    <w:t>(C)  a list of the geographic coverage of the program; and</w:t>
                  </w:r>
                </w:p>
                <w:p w:rsidR="000A221C" w:rsidRDefault="002520B9" w:rsidP="00A42327">
                  <w:pPr>
                    <w:jc w:val="both"/>
                  </w:pPr>
                  <w:r>
                    <w:rPr>
                      <w:u w:val="single"/>
                    </w:rPr>
                    <w:t>(3)  recommendations related to</w:t>
                  </w:r>
                  <w:r>
                    <w:rPr>
                      <w:u w:val="single"/>
                    </w:rPr>
                    <w:t xml:space="preserve"> the ongoing operations and requirements of the program.</w:t>
                  </w:r>
                </w:p>
                <w:p w:rsidR="000A221C" w:rsidRDefault="002520B9" w:rsidP="00A42327">
                  <w:pPr>
                    <w:jc w:val="both"/>
                  </w:pPr>
                  <w:r w:rsidRPr="007E766B">
                    <w:rPr>
                      <w:highlight w:val="lightGray"/>
                      <w:u w:val="single"/>
                    </w:rPr>
                    <w:t>(i)  This section expires September 1, 2019.</w:t>
                  </w:r>
                </w:p>
                <w:p w:rsidR="00257635" w:rsidRDefault="002520B9" w:rsidP="00A42327">
                  <w:pPr>
                    <w:jc w:val="both"/>
                  </w:pPr>
                </w:p>
              </w:tc>
            </w:tr>
            <w:tr w:rsidR="00307BFD" w:rsidTr="007E766B">
              <w:tc>
                <w:tcPr>
                  <w:tcW w:w="4680" w:type="dxa"/>
                  <w:tcMar>
                    <w:right w:w="360" w:type="dxa"/>
                  </w:tcMar>
                </w:tcPr>
                <w:p w:rsidR="007E766B" w:rsidRDefault="002520B9" w:rsidP="00A42327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  <w:p w:rsidR="007E766B" w:rsidRDefault="002520B9" w:rsidP="00A42327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E766B" w:rsidRDefault="002520B9" w:rsidP="00A42327">
                  <w:pPr>
                    <w:jc w:val="both"/>
                  </w:pPr>
                  <w:r>
                    <w:t>SECTION 2. Same as introduced version.</w:t>
                  </w:r>
                </w:p>
                <w:p w:rsidR="007E766B" w:rsidRDefault="002520B9" w:rsidP="00A42327">
                  <w:pPr>
                    <w:jc w:val="both"/>
                  </w:pPr>
                </w:p>
                <w:p w:rsidR="007E766B" w:rsidRDefault="002520B9" w:rsidP="00A42327">
                  <w:pPr>
                    <w:jc w:val="both"/>
                  </w:pPr>
                </w:p>
              </w:tc>
            </w:tr>
            <w:tr w:rsidR="00307BFD" w:rsidTr="007E766B">
              <w:tc>
                <w:tcPr>
                  <w:tcW w:w="4680" w:type="dxa"/>
                  <w:tcMar>
                    <w:right w:w="360" w:type="dxa"/>
                  </w:tcMar>
                </w:tcPr>
                <w:p w:rsidR="007E766B" w:rsidRDefault="002520B9" w:rsidP="00A42327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E766B" w:rsidRDefault="002520B9" w:rsidP="00A42327">
                  <w:pPr>
                    <w:jc w:val="both"/>
                  </w:pPr>
                </w:p>
              </w:tc>
            </w:tr>
          </w:tbl>
          <w:p w:rsidR="00257635" w:rsidRDefault="002520B9" w:rsidP="00A42327"/>
          <w:p w:rsidR="00257635" w:rsidRPr="009C1E9A" w:rsidRDefault="002520B9" w:rsidP="00A42327">
            <w:pPr>
              <w:rPr>
                <w:b/>
                <w:u w:val="single"/>
              </w:rPr>
            </w:pPr>
          </w:p>
        </w:tc>
      </w:tr>
    </w:tbl>
    <w:p w:rsidR="008423E4" w:rsidRPr="00BE0E75" w:rsidRDefault="002520B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520B9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20B9">
      <w:r>
        <w:separator/>
      </w:r>
    </w:p>
  </w:endnote>
  <w:endnote w:type="continuationSeparator" w:id="0">
    <w:p w:rsidR="00000000" w:rsidRDefault="0025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07BFD" w:rsidTr="009C1E9A">
      <w:trPr>
        <w:cantSplit/>
      </w:trPr>
      <w:tc>
        <w:tcPr>
          <w:tcW w:w="0" w:type="pct"/>
        </w:tcPr>
        <w:p w:rsidR="00137D90" w:rsidRDefault="002520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520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520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520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520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7BFD" w:rsidTr="009C1E9A">
      <w:trPr>
        <w:cantSplit/>
      </w:trPr>
      <w:tc>
        <w:tcPr>
          <w:tcW w:w="0" w:type="pct"/>
        </w:tcPr>
        <w:p w:rsidR="00EC379B" w:rsidRDefault="002520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520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24611</w:t>
          </w:r>
        </w:p>
      </w:tc>
      <w:tc>
        <w:tcPr>
          <w:tcW w:w="2453" w:type="pct"/>
        </w:tcPr>
        <w:p w:rsidR="00EC379B" w:rsidRDefault="002520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17.110.861</w:t>
          </w:r>
          <w:r>
            <w:fldChar w:fldCharType="end"/>
          </w:r>
        </w:p>
      </w:tc>
    </w:tr>
    <w:tr w:rsidR="00307BFD" w:rsidTr="009C1E9A">
      <w:trPr>
        <w:cantSplit/>
      </w:trPr>
      <w:tc>
        <w:tcPr>
          <w:tcW w:w="0" w:type="pct"/>
        </w:tcPr>
        <w:p w:rsidR="00EC379B" w:rsidRDefault="002520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520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20310</w:t>
          </w:r>
        </w:p>
      </w:tc>
      <w:tc>
        <w:tcPr>
          <w:tcW w:w="2453" w:type="pct"/>
        </w:tcPr>
        <w:p w:rsidR="00EC379B" w:rsidRDefault="002520B9" w:rsidP="006D504F">
          <w:pPr>
            <w:pStyle w:val="Footer"/>
            <w:rPr>
              <w:rStyle w:val="PageNumber"/>
            </w:rPr>
          </w:pPr>
        </w:p>
        <w:p w:rsidR="00EC379B" w:rsidRDefault="002520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7BF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520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520B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520B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20B9">
      <w:r>
        <w:separator/>
      </w:r>
    </w:p>
  </w:footnote>
  <w:footnote w:type="continuationSeparator" w:id="0">
    <w:p w:rsidR="00000000" w:rsidRDefault="0025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037"/>
    <w:multiLevelType w:val="hybridMultilevel"/>
    <w:tmpl w:val="17C68BC6"/>
    <w:lvl w:ilvl="0" w:tplc="52A03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5C7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F46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A0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A5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E8D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48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AE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162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9406E"/>
    <w:multiLevelType w:val="hybridMultilevel"/>
    <w:tmpl w:val="E1505B66"/>
    <w:lvl w:ilvl="0" w:tplc="66AEA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5AC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D8A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A55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49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AA12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84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02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DE0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FD"/>
    <w:rsid w:val="002520B9"/>
    <w:rsid w:val="0030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41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1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17A7"/>
  </w:style>
  <w:style w:type="paragraph" w:styleId="CommentSubject">
    <w:name w:val="annotation subject"/>
    <w:basedOn w:val="CommentText"/>
    <w:next w:val="CommentText"/>
    <w:link w:val="CommentSubjectChar"/>
    <w:rsid w:val="00E41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17A7"/>
    <w:rPr>
      <w:b/>
      <w:bCs/>
    </w:rPr>
  </w:style>
  <w:style w:type="paragraph" w:styleId="ListParagraph">
    <w:name w:val="List Paragraph"/>
    <w:basedOn w:val="Normal"/>
    <w:uiPriority w:val="34"/>
    <w:qFormat/>
    <w:rsid w:val="000A2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41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1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17A7"/>
  </w:style>
  <w:style w:type="paragraph" w:styleId="CommentSubject">
    <w:name w:val="annotation subject"/>
    <w:basedOn w:val="CommentText"/>
    <w:next w:val="CommentText"/>
    <w:link w:val="CommentSubjectChar"/>
    <w:rsid w:val="00E41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17A7"/>
    <w:rPr>
      <w:b/>
      <w:bCs/>
    </w:rPr>
  </w:style>
  <w:style w:type="paragraph" w:styleId="ListParagraph">
    <w:name w:val="List Paragraph"/>
    <w:basedOn w:val="Normal"/>
    <w:uiPriority w:val="34"/>
    <w:qFormat/>
    <w:rsid w:val="000A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1468</Words>
  <Characters>8126</Characters>
  <Application>Microsoft Office Word</Application>
  <DocSecurity>4</DocSecurity>
  <Lines>308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HB02819 (Committee Report (Substituted))</vt:lpstr>
    </vt:vector>
  </TitlesOfParts>
  <Company>State of Texas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24611</dc:subject>
  <dc:creator>State of Texas</dc:creator>
  <dc:description>HB 2819 by Darby-(H)Energy Resources (Substitute Document Number: 85R 20310)</dc:description>
  <cp:lastModifiedBy>Molly Hoffman-Bricker</cp:lastModifiedBy>
  <cp:revision>2</cp:revision>
  <cp:lastPrinted>2017-04-20T20:47:00Z</cp:lastPrinted>
  <dcterms:created xsi:type="dcterms:W3CDTF">2017-04-24T18:45:00Z</dcterms:created>
  <dcterms:modified xsi:type="dcterms:W3CDTF">2017-04-24T18:45:00Z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17.110.861</vt:lpwstr>
  </property>
</Properties>
</file>