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23B02" w:rsidTr="00345119">
        <w:tc>
          <w:tcPr>
            <w:tcW w:w="9576" w:type="dxa"/>
            <w:noWrap/>
          </w:tcPr>
          <w:p w:rsidR="008423E4" w:rsidRPr="0022177D" w:rsidRDefault="008C766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C766C" w:rsidP="008423E4">
      <w:pPr>
        <w:jc w:val="center"/>
      </w:pPr>
    </w:p>
    <w:p w:rsidR="008423E4" w:rsidRPr="00B31F0E" w:rsidRDefault="008C766C" w:rsidP="008423E4"/>
    <w:p w:rsidR="008423E4" w:rsidRPr="00742794" w:rsidRDefault="008C766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23B02" w:rsidTr="00345119">
        <w:tc>
          <w:tcPr>
            <w:tcW w:w="9576" w:type="dxa"/>
          </w:tcPr>
          <w:p w:rsidR="008423E4" w:rsidRPr="00861995" w:rsidRDefault="008C766C" w:rsidP="00345119">
            <w:pPr>
              <w:jc w:val="right"/>
            </w:pPr>
            <w:r>
              <w:t>C.S.H.B. 2821</w:t>
            </w:r>
          </w:p>
        </w:tc>
      </w:tr>
      <w:tr w:rsidR="00423B02" w:rsidTr="00345119">
        <w:tc>
          <w:tcPr>
            <w:tcW w:w="9576" w:type="dxa"/>
          </w:tcPr>
          <w:p w:rsidR="008423E4" w:rsidRPr="00861995" w:rsidRDefault="008C766C" w:rsidP="00691A32">
            <w:pPr>
              <w:jc w:val="right"/>
            </w:pPr>
            <w:r>
              <w:t xml:space="preserve">By: </w:t>
            </w:r>
            <w:r>
              <w:t>Dean</w:t>
            </w:r>
          </w:p>
        </w:tc>
      </w:tr>
      <w:tr w:rsidR="00423B02" w:rsidTr="00345119">
        <w:tc>
          <w:tcPr>
            <w:tcW w:w="9576" w:type="dxa"/>
          </w:tcPr>
          <w:p w:rsidR="008423E4" w:rsidRPr="00861995" w:rsidRDefault="008C766C" w:rsidP="00345119">
            <w:pPr>
              <w:jc w:val="right"/>
            </w:pPr>
            <w:r>
              <w:t>Investments &amp; Financial Services</w:t>
            </w:r>
          </w:p>
        </w:tc>
      </w:tr>
      <w:tr w:rsidR="00423B02" w:rsidTr="00345119">
        <w:tc>
          <w:tcPr>
            <w:tcW w:w="9576" w:type="dxa"/>
          </w:tcPr>
          <w:p w:rsidR="008423E4" w:rsidRDefault="008C766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C766C" w:rsidP="008423E4">
      <w:pPr>
        <w:tabs>
          <w:tab w:val="right" w:pos="9360"/>
        </w:tabs>
      </w:pPr>
    </w:p>
    <w:p w:rsidR="008423E4" w:rsidRDefault="008C766C" w:rsidP="008423E4"/>
    <w:p w:rsidR="008423E4" w:rsidRDefault="008C766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423B02" w:rsidTr="00691A32">
        <w:tc>
          <w:tcPr>
            <w:tcW w:w="9582" w:type="dxa"/>
          </w:tcPr>
          <w:p w:rsidR="008423E4" w:rsidRPr="00A8133F" w:rsidRDefault="008C766C" w:rsidP="00375BF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C766C" w:rsidP="00375BF9"/>
          <w:p w:rsidR="008423E4" w:rsidRDefault="008C766C" w:rsidP="00375B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Interested parties are concerned that </w:t>
            </w:r>
            <w:r w:rsidRPr="00856D1C">
              <w:t>low interest rate</w:t>
            </w:r>
            <w:r>
              <w:t>s</w:t>
            </w:r>
            <w:r w:rsidRPr="00856D1C">
              <w:t xml:space="preserve"> and increased management costs have </w:t>
            </w:r>
            <w:r>
              <w:t>rendered</w:t>
            </w:r>
            <w:r w:rsidRPr="00856D1C">
              <w:t xml:space="preserve"> </w:t>
            </w:r>
            <w:r w:rsidRPr="00856D1C">
              <w:t>th</w:t>
            </w:r>
            <w:r>
              <w:t>e</w:t>
            </w:r>
            <w:r w:rsidRPr="00856D1C">
              <w:t xml:space="preserve"> income </w:t>
            </w:r>
            <w:r>
              <w:t xml:space="preserve">from </w:t>
            </w:r>
            <w:r>
              <w:t xml:space="preserve">some </w:t>
            </w:r>
            <w:r>
              <w:t xml:space="preserve">perpetual care cemetery trust funds </w:t>
            </w:r>
            <w:r w:rsidRPr="00856D1C">
              <w:t>insufficient to adequately fund cemetery operations</w:t>
            </w:r>
            <w:r>
              <w:t xml:space="preserve"> and</w:t>
            </w:r>
            <w:r>
              <w:t xml:space="preserve"> that certain other updates to the administration of perpetual care trust funds would be beneficial. </w:t>
            </w:r>
            <w:r>
              <w:t>C.S.</w:t>
            </w:r>
            <w:r>
              <w:t>H.B. 2821 seeks to address these issues by</w:t>
            </w:r>
            <w:r>
              <w:t>, among other</w:t>
            </w:r>
            <w:r>
              <w:t xml:space="preserve"> things,</w:t>
            </w:r>
            <w:r>
              <w:t xml:space="preserve"> providing </w:t>
            </w:r>
            <w:r>
              <w:t>administrative law judges more flexibility in determining the penalty for a person found to be in wilful disregard of state cemetery law</w:t>
            </w:r>
            <w:r>
              <w:t xml:space="preserve"> and </w:t>
            </w:r>
            <w:r>
              <w:t>requiring</w:t>
            </w:r>
            <w:r>
              <w:t xml:space="preserve"> </w:t>
            </w:r>
            <w:r>
              <w:t xml:space="preserve">operators of perpetual care cemeteries </w:t>
            </w:r>
            <w:r>
              <w:t>to</w:t>
            </w:r>
            <w:r>
              <w:t xml:space="preserve"> </w:t>
            </w:r>
            <w:r>
              <w:t>wholly</w:t>
            </w:r>
            <w:r>
              <w:t xml:space="preserve"> own the land on which the cemetery is</w:t>
            </w:r>
            <w:r>
              <w:t xml:space="preserve"> located</w:t>
            </w:r>
            <w:r>
              <w:t>.</w:t>
            </w:r>
          </w:p>
          <w:p w:rsidR="00AE62EF" w:rsidRPr="00E26B13" w:rsidRDefault="008C766C" w:rsidP="00375BF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423B02" w:rsidTr="00691A32">
        <w:tc>
          <w:tcPr>
            <w:tcW w:w="9582" w:type="dxa"/>
          </w:tcPr>
          <w:p w:rsidR="0017725B" w:rsidRDefault="008C766C" w:rsidP="00375B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C766C" w:rsidP="00375BF9">
            <w:pPr>
              <w:rPr>
                <w:b/>
                <w:u w:val="single"/>
              </w:rPr>
            </w:pPr>
          </w:p>
          <w:p w:rsidR="00973053" w:rsidRPr="00973053" w:rsidRDefault="008C766C" w:rsidP="00375BF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8C766C" w:rsidP="00375BF9">
            <w:pPr>
              <w:rPr>
                <w:b/>
                <w:u w:val="single"/>
              </w:rPr>
            </w:pPr>
          </w:p>
        </w:tc>
      </w:tr>
      <w:tr w:rsidR="00423B02" w:rsidTr="00691A32">
        <w:tc>
          <w:tcPr>
            <w:tcW w:w="9582" w:type="dxa"/>
          </w:tcPr>
          <w:p w:rsidR="008423E4" w:rsidRPr="00A8133F" w:rsidRDefault="008C766C" w:rsidP="00375BF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C766C" w:rsidP="00375BF9"/>
          <w:p w:rsidR="00973053" w:rsidRDefault="008C766C" w:rsidP="00375B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C766C" w:rsidP="00375BF9">
            <w:pPr>
              <w:rPr>
                <w:b/>
              </w:rPr>
            </w:pPr>
          </w:p>
        </w:tc>
      </w:tr>
      <w:tr w:rsidR="00423B02" w:rsidTr="00691A32">
        <w:tc>
          <w:tcPr>
            <w:tcW w:w="9582" w:type="dxa"/>
          </w:tcPr>
          <w:p w:rsidR="008423E4" w:rsidRPr="00A8133F" w:rsidRDefault="008C766C" w:rsidP="00375BF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C766C" w:rsidP="00375BF9"/>
          <w:p w:rsidR="00A425C8" w:rsidRDefault="008C766C" w:rsidP="00375B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2821 amends the Health and Safety Code to</w:t>
            </w:r>
            <w:r>
              <w:t xml:space="preserve"> replace </w:t>
            </w:r>
            <w:r>
              <w:t xml:space="preserve">a </w:t>
            </w:r>
            <w:r>
              <w:t xml:space="preserve">requirement that </w:t>
            </w:r>
            <w:r>
              <w:t xml:space="preserve">the </w:t>
            </w:r>
            <w:r>
              <w:t xml:space="preserve">trier of fact </w:t>
            </w:r>
            <w:r>
              <w:t xml:space="preserve">recommend to </w:t>
            </w:r>
            <w:r>
              <w:t xml:space="preserve">the banking commissioner of Texas </w:t>
            </w:r>
            <w:r>
              <w:t xml:space="preserve">after an administrative hearing in which it is found that a person's violation of statutory provisions relating </w:t>
            </w:r>
            <w:r>
              <w:t xml:space="preserve">to cemeteries or of a rule of the Finance Commission of Texas </w:t>
            </w:r>
            <w:r>
              <w:t xml:space="preserve">establishes a pattern of wilful disregard for the requirements of such provisions or rules </w:t>
            </w:r>
            <w:r>
              <w:t xml:space="preserve">either that the maximum permitted administrative penalty be imposed on </w:t>
            </w:r>
            <w:r>
              <w:t>the</w:t>
            </w:r>
            <w:r>
              <w:t xml:space="preserve"> person </w:t>
            </w:r>
            <w:r>
              <w:t>or that the commissio</w:t>
            </w:r>
            <w:r>
              <w:t xml:space="preserve">ner cancel or not renew the person's registration or permit, as applicable, </w:t>
            </w:r>
            <w:r>
              <w:t xml:space="preserve">with an authorization </w:t>
            </w:r>
            <w:r>
              <w:t xml:space="preserve">for the trier of fact </w:t>
            </w:r>
            <w:r>
              <w:t xml:space="preserve">to </w:t>
            </w:r>
            <w:r>
              <w:t>make such a recommendation</w:t>
            </w:r>
            <w:r>
              <w:t xml:space="preserve">. The bill </w:t>
            </w:r>
            <w:r>
              <w:t xml:space="preserve">requires a corporation applying for a certificate of authority </w:t>
            </w:r>
            <w:r>
              <w:t>to operate a perpetual care cemet</w:t>
            </w:r>
            <w:r>
              <w:t xml:space="preserve">ery to demonstrate to the satisfaction of the commissioner </w:t>
            </w:r>
            <w:r>
              <w:t xml:space="preserve">that the applicant corporation </w:t>
            </w:r>
            <w:r>
              <w:t>wholly</w:t>
            </w:r>
            <w:r>
              <w:t xml:space="preserve"> own</w:t>
            </w:r>
            <w:r>
              <w:t>s</w:t>
            </w:r>
            <w:r>
              <w:t xml:space="preserve"> all land on which the perpetual care cemetery will be located. The bill </w:t>
            </w:r>
            <w:r>
              <w:t xml:space="preserve">establishes for purposes of such requirement </w:t>
            </w:r>
            <w:r>
              <w:t>that an applicant corporation is cons</w:t>
            </w:r>
            <w:r>
              <w:t xml:space="preserve">idered to </w:t>
            </w:r>
            <w:r>
              <w:t>wholly own</w:t>
            </w:r>
            <w:r>
              <w:t xml:space="preserve"> land regardless of whether the land is subject to a mortgage, deed of trust, or other lien. </w:t>
            </w:r>
          </w:p>
          <w:p w:rsidR="00A425C8" w:rsidRDefault="008C766C" w:rsidP="00375B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8C766C" w:rsidP="00375B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2821 </w:t>
            </w:r>
            <w:r>
              <w:t>establish</w:t>
            </w:r>
            <w:r>
              <w:t>es</w:t>
            </w:r>
            <w:r>
              <w:t xml:space="preserve"> that a certificate holder holding </w:t>
            </w:r>
            <w:r>
              <w:t xml:space="preserve">such </w:t>
            </w:r>
            <w:r>
              <w:t xml:space="preserve">a certificate of authority issued before September 1, 2017, </w:t>
            </w:r>
            <w:r>
              <w:t>that does</w:t>
            </w:r>
            <w:r>
              <w:t xml:space="preserve"> not </w:t>
            </w:r>
            <w:r>
              <w:t>on</w:t>
            </w:r>
            <w:r>
              <w:t xml:space="preserve"> that date</w:t>
            </w:r>
            <w:r>
              <w:t xml:space="preserve"> satisfy the ownership requirement</w:t>
            </w:r>
            <w:r>
              <w:t xml:space="preserve"> is not required to satisfy </w:t>
            </w:r>
            <w:r>
              <w:t>such</w:t>
            </w:r>
            <w:r>
              <w:t xml:space="preserve"> requirement</w:t>
            </w:r>
            <w:r>
              <w:t xml:space="preserve"> </w:t>
            </w:r>
            <w:r>
              <w:t>as a condition of renewal until September 1, 2022</w:t>
            </w:r>
            <w:r>
              <w:t>, and authoriz</w:t>
            </w:r>
            <w:r>
              <w:t>es</w:t>
            </w:r>
            <w:r>
              <w:t xml:space="preserve"> the commissioner to extend the period of compliance for the ownership requirement if the certificate </w:t>
            </w:r>
            <w:r>
              <w:t xml:space="preserve">holder files a written application for the extension in the form and manner required by the </w:t>
            </w:r>
            <w:r>
              <w:t>Texas</w:t>
            </w:r>
            <w:r w:rsidRPr="00A425C8">
              <w:t xml:space="preserve"> </w:t>
            </w:r>
            <w:r w:rsidRPr="00A425C8">
              <w:t xml:space="preserve">Department of </w:t>
            </w:r>
            <w:r>
              <w:t xml:space="preserve">Banking </w:t>
            </w:r>
            <w:r>
              <w:t>and shows good cause for the extension.</w:t>
            </w:r>
            <w:r>
              <w:t xml:space="preserve"> These provisions expire September 1, 2028.</w:t>
            </w:r>
          </w:p>
          <w:p w:rsidR="00A425C8" w:rsidRDefault="008C766C" w:rsidP="00375B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425C8" w:rsidRDefault="008C766C" w:rsidP="00375BF9">
            <w:pPr>
              <w:pStyle w:val="Header"/>
              <w:jc w:val="both"/>
            </w:pPr>
            <w:r>
              <w:t>C.S.</w:t>
            </w:r>
            <w:r>
              <w:t>H.B. 2821</w:t>
            </w:r>
            <w:r>
              <w:t xml:space="preserve"> </w:t>
            </w:r>
            <w:r>
              <w:t>defines "master trust account" as an a</w:t>
            </w:r>
            <w:r>
              <w:t xml:space="preserve">ccount containing the perpetual care trust </w:t>
            </w:r>
            <w:r>
              <w:lastRenderedPageBreak/>
              <w:t xml:space="preserve">funds of two or more certificate holders for the purpose of collective investment and administration and </w:t>
            </w:r>
            <w:r>
              <w:t xml:space="preserve">changes references to </w:t>
            </w:r>
            <w:r>
              <w:t>a</w:t>
            </w:r>
            <w:r>
              <w:t xml:space="preserve"> common trust fund to references to </w:t>
            </w:r>
            <w:r>
              <w:t>a</w:t>
            </w:r>
            <w:r>
              <w:t xml:space="preserve"> master trust account in related </w:t>
            </w:r>
            <w:r>
              <w:t>provision</w:t>
            </w:r>
            <w:r>
              <w:t xml:space="preserve">s. </w:t>
            </w:r>
            <w:r>
              <w:t>The</w:t>
            </w:r>
            <w:r>
              <w:t xml:space="preserve"> bill </w:t>
            </w:r>
            <w:r>
              <w:t>authorizes a corporation to apply to the commissioner for temporary relief and placement of a perpetual care trust fund in a segregated interest bearing account at a Texas financial institution if the corporation has been operating a perpetual care c</w:t>
            </w:r>
            <w:r>
              <w:t>emetery in Texas for at least two years and has a perpetual care trust fund with a balance of less than $100,000, the income of which is insufficient to pay trustee fees.</w:t>
            </w:r>
          </w:p>
          <w:p w:rsidR="008423E4" w:rsidRPr="00835628" w:rsidRDefault="008C766C" w:rsidP="00375BF9">
            <w:pPr>
              <w:rPr>
                <w:b/>
              </w:rPr>
            </w:pPr>
          </w:p>
        </w:tc>
      </w:tr>
      <w:tr w:rsidR="00423B02" w:rsidTr="00691A32">
        <w:tc>
          <w:tcPr>
            <w:tcW w:w="9582" w:type="dxa"/>
          </w:tcPr>
          <w:p w:rsidR="008423E4" w:rsidRPr="00A8133F" w:rsidRDefault="008C766C" w:rsidP="00375BF9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C766C" w:rsidP="00375BF9"/>
          <w:p w:rsidR="008423E4" w:rsidRDefault="008C766C" w:rsidP="00375BF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C766C" w:rsidP="00375BF9">
            <w:pPr>
              <w:rPr>
                <w:b/>
              </w:rPr>
            </w:pPr>
          </w:p>
        </w:tc>
      </w:tr>
      <w:tr w:rsidR="00423B02" w:rsidTr="00691A32">
        <w:tc>
          <w:tcPr>
            <w:tcW w:w="9582" w:type="dxa"/>
          </w:tcPr>
          <w:p w:rsidR="00691A32" w:rsidRDefault="008C766C" w:rsidP="00375BF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7313EF" w:rsidRDefault="008C766C" w:rsidP="00375BF9">
            <w:pPr>
              <w:jc w:val="both"/>
            </w:pPr>
          </w:p>
          <w:p w:rsidR="007313EF" w:rsidRDefault="008C766C" w:rsidP="00375BF9">
            <w:pPr>
              <w:jc w:val="both"/>
            </w:pPr>
            <w:r>
              <w:t xml:space="preserve">While </w:t>
            </w:r>
            <w:r>
              <w:t>C.S.H.B. 2821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7313EF" w:rsidRPr="00826102" w:rsidRDefault="008C766C" w:rsidP="00375BF9">
            <w:pPr>
              <w:jc w:val="both"/>
            </w:pPr>
          </w:p>
        </w:tc>
      </w:tr>
      <w:tr w:rsidR="00423B02" w:rsidTr="00691A32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423B02" w:rsidTr="00691A32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691A32" w:rsidRDefault="008C766C" w:rsidP="00375BF9">
                  <w:pPr>
                    <w:jc w:val="center"/>
                  </w:pPr>
                  <w:r>
                    <w:t>I</w:t>
                  </w:r>
                  <w:r>
                    <w:t>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691A32" w:rsidRDefault="008C766C" w:rsidP="00375BF9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423B02" w:rsidTr="00691A32">
              <w:tc>
                <w:tcPr>
                  <w:tcW w:w="4673" w:type="dxa"/>
                  <w:tcMar>
                    <w:right w:w="360" w:type="dxa"/>
                  </w:tcMar>
                </w:tcPr>
                <w:p w:rsidR="00691A32" w:rsidRDefault="008C766C" w:rsidP="00375BF9">
                  <w:pPr>
                    <w:jc w:val="both"/>
                  </w:pPr>
                  <w:r>
                    <w:t>SECTION 1.  Section 711.056(a), Health and Safety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91A32" w:rsidRDefault="008C766C" w:rsidP="00375BF9">
                  <w:pPr>
                    <w:jc w:val="both"/>
                  </w:pPr>
                  <w:r>
                    <w:t>SECTION 1. Same as introduced version.</w:t>
                  </w:r>
                </w:p>
                <w:p w:rsidR="00691A32" w:rsidRDefault="008C766C" w:rsidP="00375BF9">
                  <w:pPr>
                    <w:jc w:val="both"/>
                  </w:pPr>
                </w:p>
              </w:tc>
            </w:tr>
            <w:tr w:rsidR="00423B02" w:rsidTr="00691A32">
              <w:tc>
                <w:tcPr>
                  <w:tcW w:w="4673" w:type="dxa"/>
                  <w:tcMar>
                    <w:right w:w="360" w:type="dxa"/>
                  </w:tcMar>
                </w:tcPr>
                <w:p w:rsidR="00691A32" w:rsidRDefault="008C766C" w:rsidP="00375BF9">
                  <w:pPr>
                    <w:jc w:val="both"/>
                  </w:pPr>
                  <w:r>
                    <w:t xml:space="preserve">SECTION 2.  Section 712.0034, Health and Safety Code, is amended by amending Subsection (b) and adding </w:t>
                  </w:r>
                  <w:r>
                    <w:t>Subsection (c) to read as follows: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t>(b)  To qualify for a certificate of authority under this chapter, an applicant must demonstrate to the satisfaction of the commissioner that: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t>(1)  the applicant's business ability, experience, character, financial condit</w:t>
                  </w:r>
                  <w:r>
                    <w:t>ion, and general fitness warrant the public's confidence;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t>(2)  the cemetery operations manager has at least two years of experience in cemetery management;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t>(3)  the issuance of the certificate of authority is in the public interest;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t>(4)  the applicant, a p</w:t>
                  </w:r>
                  <w:r>
                    <w:t>rincipal of the applicant, or a person who controls the applicant does not owe the department a delinquent fee, assessment, administrative penalty, or other amount imposed under this chapter or a rule adopted or order issued under this chapter; and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t>(5)  th</w:t>
                  </w:r>
                  <w:r>
                    <w:t>e applicant corporation: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t>(A)  is in good standing and statutory compliance with this state;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t>(B)  is authorized to engage in the perpetual care cemetery business in this state;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t>(C)  does not owe any delinquent franchise or other taxes to this state</w:t>
                  </w:r>
                  <w:r>
                    <w:rPr>
                      <w:u w:val="single"/>
                    </w:rPr>
                    <w:t>; a</w:t>
                  </w:r>
                  <w:r>
                    <w:rPr>
                      <w:u w:val="single"/>
                    </w:rPr>
                    <w:t>nd</w:t>
                  </w:r>
                </w:p>
                <w:p w:rsidR="00691A32" w:rsidRDefault="008C766C" w:rsidP="00375BF9">
                  <w:pPr>
                    <w:jc w:val="both"/>
                  </w:pPr>
                  <w:r w:rsidRPr="00826102">
                    <w:rPr>
                      <w:u w:val="single"/>
                    </w:rPr>
                    <w:t xml:space="preserve">(D)  </w:t>
                  </w:r>
                  <w:r w:rsidRPr="003D4A4C">
                    <w:rPr>
                      <w:highlight w:val="lightGray"/>
                      <w:u w:val="single"/>
                    </w:rPr>
                    <w:t>is the sole owner of</w:t>
                  </w:r>
                  <w:r>
                    <w:rPr>
                      <w:u w:val="single"/>
                    </w:rPr>
                    <w:t xml:space="preserve"> all land on which the perpetual care cemetery will be located</w:t>
                  </w:r>
                  <w:r>
                    <w:t>.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rPr>
                      <w:u w:val="single"/>
                    </w:rPr>
                    <w:t xml:space="preserve">(c)  For purposes of Subsection (b)(5)(D), an applicant corporation is considered to </w:t>
                  </w:r>
                  <w:r w:rsidRPr="003D4A4C">
                    <w:rPr>
                      <w:highlight w:val="lightGray"/>
                      <w:u w:val="single"/>
                    </w:rPr>
                    <w:t>be the sole owner of</w:t>
                  </w:r>
                  <w:r>
                    <w:rPr>
                      <w:u w:val="single"/>
                    </w:rPr>
                    <w:t xml:space="preserve"> land regardless of whether the land is subject to a mortga</w:t>
                  </w:r>
                  <w:r>
                    <w:rPr>
                      <w:u w:val="single"/>
                    </w:rPr>
                    <w:t>ge, deed of trust, or other lien.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91A32" w:rsidRDefault="008C766C" w:rsidP="00375BF9">
                  <w:pPr>
                    <w:jc w:val="both"/>
                  </w:pPr>
                  <w:r>
                    <w:t>SECTION 2.  Section 712.0034, Health and Safety Code, is amended by amending Subsection (b) and adding Subsection (c) to read as follows: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t>(b)  To qualify for a certificate of authority under this chapter, an applicant must</w:t>
                  </w:r>
                  <w:r>
                    <w:t xml:space="preserve"> demonstrate to the satisfaction of the commissioner that: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t>(1)  the applicant's business ability, experience, character, financial condition, and general fitness warrant the public's confidence;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t>(2)  the cemetery operations manager has at least two years o</w:t>
                  </w:r>
                  <w:r>
                    <w:t>f experience in cemetery management;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t>(3)  the issuance of the certificate of authority is in the public interest;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t>(4)  the applicant, a principal of the applicant, or a person who controls the applicant does not owe the department a delinquent fee, assessm</w:t>
                  </w:r>
                  <w:r>
                    <w:t>ent, administrative penalty, or other amount imposed under this chapter or a rule adopted or order issued under this chapter; and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t>(5)  the applicant corporation: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t>(A)  is in good standing and statutory compliance with this state;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t xml:space="preserve">(B)  is authorized to </w:t>
                  </w:r>
                  <w:r>
                    <w:t>engage in the perpetual care cemetery business in this state; [</w:t>
                  </w:r>
                  <w:r>
                    <w:rPr>
                      <w:strike/>
                    </w:rPr>
                    <w:t>and</w:t>
                  </w:r>
                  <w:r>
                    <w:t>]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t>(C)  does not owe any delinquent franchise or other taxes to this state</w:t>
                  </w:r>
                  <w:r>
                    <w:rPr>
                      <w:u w:val="single"/>
                    </w:rPr>
                    <w:t>; and</w:t>
                  </w:r>
                </w:p>
                <w:p w:rsidR="00691A32" w:rsidRDefault="008C766C" w:rsidP="00375BF9">
                  <w:pPr>
                    <w:jc w:val="both"/>
                  </w:pPr>
                  <w:r w:rsidRPr="00826102">
                    <w:rPr>
                      <w:u w:val="single"/>
                    </w:rPr>
                    <w:t xml:space="preserve">(D)  </w:t>
                  </w:r>
                  <w:r w:rsidRPr="003D4A4C">
                    <w:rPr>
                      <w:highlight w:val="lightGray"/>
                      <w:u w:val="single"/>
                    </w:rPr>
                    <w:t>wholly owns</w:t>
                  </w:r>
                  <w:r>
                    <w:rPr>
                      <w:u w:val="single"/>
                    </w:rPr>
                    <w:t xml:space="preserve"> all land on which the perpetual care cemetery will be located</w:t>
                  </w:r>
                  <w:r>
                    <w:t>.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rPr>
                      <w:u w:val="single"/>
                    </w:rPr>
                    <w:t>(c)  For purposes of Subsection</w:t>
                  </w:r>
                  <w:r>
                    <w:rPr>
                      <w:u w:val="single"/>
                    </w:rPr>
                    <w:t xml:space="preserve"> (b)(5)(D), an applicant corporation is considered to </w:t>
                  </w:r>
                  <w:r w:rsidRPr="003D4A4C">
                    <w:rPr>
                      <w:highlight w:val="lightGray"/>
                      <w:u w:val="single"/>
                    </w:rPr>
                    <w:t>wholly own</w:t>
                  </w:r>
                  <w:r>
                    <w:rPr>
                      <w:u w:val="single"/>
                    </w:rPr>
                    <w:t xml:space="preserve"> land regardless of whether the land is subject to a mortgage, deed of trust, or other lien.</w:t>
                  </w:r>
                </w:p>
              </w:tc>
            </w:tr>
            <w:tr w:rsidR="00423B02" w:rsidTr="00691A32">
              <w:tc>
                <w:tcPr>
                  <w:tcW w:w="4673" w:type="dxa"/>
                  <w:tcMar>
                    <w:right w:w="360" w:type="dxa"/>
                  </w:tcMar>
                </w:tcPr>
                <w:p w:rsidR="00691A32" w:rsidRDefault="008C766C" w:rsidP="00375BF9">
                  <w:pPr>
                    <w:jc w:val="both"/>
                  </w:pPr>
                  <w:r>
                    <w:t>SECTION 3.  Section 712.0037, Health and Safety Code, is amended by adding Subsections (a-1) and (</w:t>
                  </w:r>
                  <w:r>
                    <w:t>a-2) to read as follows:</w:t>
                  </w:r>
                </w:p>
                <w:p w:rsidR="00E959DD" w:rsidRDefault="008C766C" w:rsidP="00375BF9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(a-1)  Notwithstanding Subsection (a), a certificate holder holding a certificate of authority issued before September 1, 2017, </w:t>
                  </w:r>
                </w:p>
                <w:p w:rsidR="00E959DD" w:rsidRDefault="008C766C" w:rsidP="00375BF9">
                  <w:pPr>
                    <w:jc w:val="both"/>
                    <w:rPr>
                      <w:u w:val="single"/>
                    </w:rPr>
                  </w:pPr>
                </w:p>
                <w:p w:rsidR="00E959DD" w:rsidRDefault="008C766C" w:rsidP="00375BF9">
                  <w:pPr>
                    <w:jc w:val="both"/>
                    <w:rPr>
                      <w:u w:val="single"/>
                    </w:rPr>
                  </w:pPr>
                </w:p>
                <w:p w:rsidR="00E959DD" w:rsidRDefault="008C766C" w:rsidP="00375BF9">
                  <w:pPr>
                    <w:jc w:val="both"/>
                    <w:rPr>
                      <w:u w:val="single"/>
                    </w:rPr>
                  </w:pPr>
                </w:p>
                <w:p w:rsidR="003D4A4C" w:rsidRDefault="008C766C" w:rsidP="00375BF9">
                  <w:pPr>
                    <w:jc w:val="both"/>
                    <w:rPr>
                      <w:u w:val="single"/>
                    </w:rPr>
                  </w:pPr>
                  <w:r w:rsidRPr="00826102">
                    <w:rPr>
                      <w:u w:val="single"/>
                    </w:rPr>
                    <w:t>is not required to</w:t>
                  </w:r>
                  <w:r>
                    <w:rPr>
                      <w:u w:val="single"/>
                    </w:rPr>
                    <w:t xml:space="preserve"> satisfy the ownership requirement under </w:t>
                  </w:r>
                  <w:r w:rsidRPr="00826102">
                    <w:rPr>
                      <w:u w:val="single"/>
                    </w:rPr>
                    <w:t>Section</w:t>
                  </w:r>
                  <w:r>
                    <w:rPr>
                      <w:u w:val="single"/>
                    </w:rPr>
                    <w:t xml:space="preserve"> 712.0034(b)(5)(D) as a condition</w:t>
                  </w:r>
                  <w:r>
                    <w:rPr>
                      <w:u w:val="single"/>
                    </w:rPr>
                    <w:t xml:space="preserve"> of renewal until September 1, 2022.  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rPr>
                      <w:u w:val="single"/>
                    </w:rPr>
                    <w:t>The commissioner may extend the period of compliance for the ownership requirement if the certificate holder: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rPr>
                      <w:u w:val="single"/>
                    </w:rPr>
                    <w:t>(1)  files a written application for the extension in the form and manner required by the department; and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rPr>
                      <w:u w:val="single"/>
                    </w:rPr>
                    <w:t>(2)  shows good cause for the extension.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rPr>
                      <w:u w:val="single"/>
                    </w:rPr>
                    <w:t>(a-2)  This subsection and Subsection (a-1) expire September 1, 2028.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91A32" w:rsidRDefault="008C766C" w:rsidP="00375BF9">
                  <w:pPr>
                    <w:jc w:val="both"/>
                  </w:pPr>
                  <w:r>
                    <w:t>SECTION 3.  Section 712.0037, Health and Safety Code, is amended by adding Subsections (a-1) and (a-2) to read as follows:</w:t>
                  </w:r>
                </w:p>
                <w:p w:rsidR="00E959DD" w:rsidRDefault="008C766C" w:rsidP="00375BF9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(a-1)  Notwithstanding</w:t>
                  </w:r>
                  <w:r>
                    <w:rPr>
                      <w:u w:val="single"/>
                    </w:rPr>
                    <w:t xml:space="preserve"> Subsection (a), a certificate holder holding a certificate of authority issued before September 1, 2017, </w:t>
                  </w:r>
                  <w:r w:rsidRPr="00E959DD">
                    <w:rPr>
                      <w:highlight w:val="lightGray"/>
                      <w:u w:val="single"/>
                    </w:rPr>
                    <w:t>that does not on that date</w:t>
                  </w:r>
                  <w:r w:rsidRPr="00826102">
                    <w:rPr>
                      <w:highlight w:val="lightGray"/>
                      <w:u w:val="single"/>
                    </w:rPr>
                    <w:t xml:space="preserve"> satisfy the ownership requirement under 712.0034(b)(5)(D)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3D4A4C" w:rsidRDefault="008C766C" w:rsidP="00375BF9">
                  <w:pPr>
                    <w:jc w:val="both"/>
                    <w:rPr>
                      <w:u w:val="single"/>
                    </w:rPr>
                  </w:pPr>
                  <w:r w:rsidRPr="00826102">
                    <w:rPr>
                      <w:u w:val="single"/>
                    </w:rPr>
                    <w:t>is not required to satisfy that ownership requirement</w:t>
                  </w:r>
                  <w:r>
                    <w:rPr>
                      <w:u w:val="single"/>
                    </w:rPr>
                    <w:t xml:space="preserve"> as a condi</w:t>
                  </w:r>
                  <w:r>
                    <w:rPr>
                      <w:u w:val="single"/>
                    </w:rPr>
                    <w:t xml:space="preserve">tion of renewal until September 1, 2022.  </w:t>
                  </w:r>
                </w:p>
                <w:p w:rsidR="00E959DD" w:rsidRDefault="008C766C" w:rsidP="00375BF9">
                  <w:pPr>
                    <w:jc w:val="both"/>
                    <w:rPr>
                      <w:u w:val="single"/>
                    </w:rPr>
                  </w:pPr>
                </w:p>
                <w:p w:rsidR="00691A32" w:rsidRDefault="008C766C" w:rsidP="00375BF9">
                  <w:pPr>
                    <w:jc w:val="both"/>
                  </w:pPr>
                  <w:r>
                    <w:rPr>
                      <w:u w:val="single"/>
                    </w:rPr>
                    <w:t>The commissioner may extend the period of compliance for the ownership requirement if the certificate holder: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rPr>
                      <w:u w:val="single"/>
                    </w:rPr>
                    <w:t xml:space="preserve">(1)  files a written application for the extension in the form and manner required by the department; </w:t>
                  </w:r>
                  <w:r>
                    <w:rPr>
                      <w:u w:val="single"/>
                    </w:rPr>
                    <w:t>and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rPr>
                      <w:u w:val="single"/>
                    </w:rPr>
                    <w:t>(2)  shows good cause for the extension.</w:t>
                  </w:r>
                </w:p>
                <w:p w:rsidR="00691A32" w:rsidRDefault="008C766C" w:rsidP="00375BF9">
                  <w:pPr>
                    <w:jc w:val="both"/>
                  </w:pPr>
                  <w:r>
                    <w:rPr>
                      <w:u w:val="single"/>
                    </w:rPr>
                    <w:t>(a-2)  This subsection and Subsection (a-1) expire September 1, 2028.</w:t>
                  </w:r>
                </w:p>
              </w:tc>
            </w:tr>
            <w:tr w:rsidR="00423B02" w:rsidTr="00691A32">
              <w:tc>
                <w:tcPr>
                  <w:tcW w:w="4673" w:type="dxa"/>
                  <w:tcMar>
                    <w:right w:w="360" w:type="dxa"/>
                  </w:tcMar>
                </w:tcPr>
                <w:p w:rsidR="00691A32" w:rsidRDefault="008C766C" w:rsidP="00375BF9">
                  <w:pPr>
                    <w:jc w:val="both"/>
                  </w:pPr>
                  <w:r>
                    <w:t>SECTION 4.  Section 712.021, Health and Safety Code, is amended</w:t>
                  </w:r>
                  <w:r>
                    <w:t>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91A32" w:rsidRDefault="008C766C" w:rsidP="00375BF9">
                  <w:pPr>
                    <w:jc w:val="both"/>
                  </w:pPr>
                  <w:r>
                    <w:t>SECTION 4. Same as introduced version.</w:t>
                  </w:r>
                </w:p>
                <w:p w:rsidR="00691A32" w:rsidRDefault="008C766C" w:rsidP="00375BF9">
                  <w:pPr>
                    <w:jc w:val="both"/>
                  </w:pPr>
                </w:p>
              </w:tc>
            </w:tr>
            <w:tr w:rsidR="00423B02" w:rsidTr="00691A32">
              <w:tc>
                <w:tcPr>
                  <w:tcW w:w="4673" w:type="dxa"/>
                  <w:tcMar>
                    <w:right w:w="360" w:type="dxa"/>
                  </w:tcMar>
                </w:tcPr>
                <w:p w:rsidR="00691A32" w:rsidRDefault="008C766C" w:rsidP="00375BF9">
                  <w:pPr>
                    <w:jc w:val="both"/>
                  </w:pPr>
                  <w:r>
                    <w:t xml:space="preserve">SECTION 5.  This Act takes effect </w:t>
                  </w:r>
                  <w:r>
                    <w:t>September 1, 2017.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691A32" w:rsidRDefault="008C766C" w:rsidP="00375BF9">
                  <w:pPr>
                    <w:jc w:val="both"/>
                  </w:pPr>
                  <w:r>
                    <w:t>SECTION 5. Same as introduced version.</w:t>
                  </w:r>
                </w:p>
                <w:p w:rsidR="00691A32" w:rsidRDefault="008C766C" w:rsidP="00375BF9">
                  <w:pPr>
                    <w:jc w:val="both"/>
                  </w:pPr>
                </w:p>
                <w:p w:rsidR="00691A32" w:rsidRDefault="008C766C" w:rsidP="00375BF9">
                  <w:pPr>
                    <w:jc w:val="both"/>
                  </w:pPr>
                </w:p>
              </w:tc>
            </w:tr>
          </w:tbl>
          <w:p w:rsidR="00691A32" w:rsidRDefault="008C766C" w:rsidP="00375BF9"/>
          <w:p w:rsidR="00691A32" w:rsidRPr="009C1E9A" w:rsidRDefault="008C766C" w:rsidP="00375BF9">
            <w:pPr>
              <w:rPr>
                <w:b/>
                <w:u w:val="single"/>
              </w:rPr>
            </w:pPr>
          </w:p>
        </w:tc>
      </w:tr>
    </w:tbl>
    <w:p w:rsidR="008423E4" w:rsidRPr="00BE0E75" w:rsidRDefault="008C766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C766C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766C">
      <w:r>
        <w:separator/>
      </w:r>
    </w:p>
  </w:endnote>
  <w:endnote w:type="continuationSeparator" w:id="0">
    <w:p w:rsidR="00000000" w:rsidRDefault="008C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23B02" w:rsidTr="009C1E9A">
      <w:trPr>
        <w:cantSplit/>
      </w:trPr>
      <w:tc>
        <w:tcPr>
          <w:tcW w:w="0" w:type="pct"/>
        </w:tcPr>
        <w:p w:rsidR="00137D90" w:rsidRDefault="008C76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C76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C766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C76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C76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3B02" w:rsidTr="009C1E9A">
      <w:trPr>
        <w:cantSplit/>
      </w:trPr>
      <w:tc>
        <w:tcPr>
          <w:tcW w:w="0" w:type="pct"/>
        </w:tcPr>
        <w:p w:rsidR="00EC379B" w:rsidRDefault="008C766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C766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23204</w:t>
          </w:r>
        </w:p>
      </w:tc>
      <w:tc>
        <w:tcPr>
          <w:tcW w:w="2453" w:type="pct"/>
        </w:tcPr>
        <w:p w:rsidR="00EC379B" w:rsidRDefault="008C76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17.102.507</w:t>
          </w:r>
          <w:r>
            <w:fldChar w:fldCharType="end"/>
          </w:r>
        </w:p>
      </w:tc>
    </w:tr>
    <w:tr w:rsidR="00423B02" w:rsidTr="009C1E9A">
      <w:trPr>
        <w:cantSplit/>
      </w:trPr>
      <w:tc>
        <w:tcPr>
          <w:tcW w:w="0" w:type="pct"/>
        </w:tcPr>
        <w:p w:rsidR="00EC379B" w:rsidRDefault="008C76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C76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16144</w:t>
          </w:r>
        </w:p>
      </w:tc>
      <w:tc>
        <w:tcPr>
          <w:tcW w:w="2453" w:type="pct"/>
        </w:tcPr>
        <w:p w:rsidR="00EC379B" w:rsidRDefault="008C766C" w:rsidP="006D504F">
          <w:pPr>
            <w:pStyle w:val="Footer"/>
            <w:rPr>
              <w:rStyle w:val="PageNumber"/>
            </w:rPr>
          </w:pPr>
        </w:p>
        <w:p w:rsidR="00EC379B" w:rsidRDefault="008C76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3B0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C766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C766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C766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766C">
      <w:r>
        <w:separator/>
      </w:r>
    </w:p>
  </w:footnote>
  <w:footnote w:type="continuationSeparator" w:id="0">
    <w:p w:rsidR="00000000" w:rsidRDefault="008C7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02"/>
    <w:rsid w:val="00423B02"/>
    <w:rsid w:val="008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6F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6F8B"/>
  </w:style>
  <w:style w:type="paragraph" w:styleId="CommentSubject">
    <w:name w:val="annotation subject"/>
    <w:basedOn w:val="CommentText"/>
    <w:next w:val="CommentText"/>
    <w:link w:val="CommentSubjectChar"/>
    <w:rsid w:val="00A36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36F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F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6F8B"/>
  </w:style>
  <w:style w:type="paragraph" w:styleId="CommentSubject">
    <w:name w:val="annotation subject"/>
    <w:basedOn w:val="CommentText"/>
    <w:next w:val="CommentText"/>
    <w:link w:val="CommentSubjectChar"/>
    <w:rsid w:val="00A36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6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1353</Words>
  <Characters>7302</Characters>
  <Application>Microsoft Office Word</Application>
  <DocSecurity>4</DocSecurity>
  <Lines>214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HB02821 (Committee Report (Substituted))</vt:lpstr>
    </vt:vector>
  </TitlesOfParts>
  <Company>State of Texas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23204</dc:subject>
  <dc:creator>State of Texas</dc:creator>
  <dc:description>HB 2821 by Dean-(H)Investments &amp; Financial Services (Substitute Document Number: 85R 16144)</dc:description>
  <cp:lastModifiedBy>Brianna Weis</cp:lastModifiedBy>
  <cp:revision>2</cp:revision>
  <cp:lastPrinted>2017-04-15T19:13:00Z</cp:lastPrinted>
  <dcterms:created xsi:type="dcterms:W3CDTF">2017-04-18T16:03:00Z</dcterms:created>
  <dcterms:modified xsi:type="dcterms:W3CDTF">2017-04-18T16:03:00Z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17.102.507</vt:lpwstr>
  </property>
</Properties>
</file>