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47BDD" w:rsidTr="00345119">
        <w:tc>
          <w:tcPr>
            <w:tcW w:w="9576" w:type="dxa"/>
            <w:noWrap/>
          </w:tcPr>
          <w:p w:rsidR="008423E4" w:rsidRPr="0022177D" w:rsidRDefault="008C123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C1239" w:rsidP="008423E4">
      <w:pPr>
        <w:jc w:val="center"/>
      </w:pPr>
    </w:p>
    <w:p w:rsidR="008423E4" w:rsidRPr="00B31F0E" w:rsidRDefault="008C1239" w:rsidP="008423E4"/>
    <w:p w:rsidR="008423E4" w:rsidRPr="00742794" w:rsidRDefault="008C123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47BDD" w:rsidTr="00345119">
        <w:tc>
          <w:tcPr>
            <w:tcW w:w="9576" w:type="dxa"/>
          </w:tcPr>
          <w:p w:rsidR="008423E4" w:rsidRPr="00861995" w:rsidRDefault="008C1239" w:rsidP="00345119">
            <w:pPr>
              <w:jc w:val="right"/>
            </w:pPr>
            <w:r>
              <w:t>C.S.H.B. 2886</w:t>
            </w:r>
          </w:p>
        </w:tc>
      </w:tr>
      <w:tr w:rsidR="00447BDD" w:rsidTr="00345119">
        <w:tc>
          <w:tcPr>
            <w:tcW w:w="9576" w:type="dxa"/>
          </w:tcPr>
          <w:p w:rsidR="008423E4" w:rsidRPr="00861995" w:rsidRDefault="008C1239" w:rsidP="001A74F5">
            <w:pPr>
              <w:jc w:val="right"/>
            </w:pPr>
            <w:r>
              <w:t xml:space="preserve">By: </w:t>
            </w:r>
            <w:r>
              <w:t>Klick</w:t>
            </w:r>
          </w:p>
        </w:tc>
      </w:tr>
      <w:tr w:rsidR="00447BDD" w:rsidTr="00345119">
        <w:tc>
          <w:tcPr>
            <w:tcW w:w="9576" w:type="dxa"/>
          </w:tcPr>
          <w:p w:rsidR="008423E4" w:rsidRPr="00861995" w:rsidRDefault="008C1239" w:rsidP="00345119">
            <w:pPr>
              <w:jc w:val="right"/>
            </w:pPr>
            <w:r>
              <w:t>Public Health</w:t>
            </w:r>
          </w:p>
        </w:tc>
      </w:tr>
      <w:tr w:rsidR="00447BDD" w:rsidTr="00345119">
        <w:tc>
          <w:tcPr>
            <w:tcW w:w="9576" w:type="dxa"/>
          </w:tcPr>
          <w:p w:rsidR="008423E4" w:rsidRDefault="008C123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C1239" w:rsidP="008423E4">
      <w:pPr>
        <w:tabs>
          <w:tab w:val="right" w:pos="9360"/>
        </w:tabs>
      </w:pPr>
    </w:p>
    <w:p w:rsidR="008423E4" w:rsidRDefault="008C1239" w:rsidP="008423E4"/>
    <w:p w:rsidR="008423E4" w:rsidRDefault="008C123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447BDD" w:rsidTr="001A74F5">
        <w:tc>
          <w:tcPr>
            <w:tcW w:w="9582" w:type="dxa"/>
          </w:tcPr>
          <w:p w:rsidR="008423E4" w:rsidRPr="00A8133F" w:rsidRDefault="008C1239" w:rsidP="00064C7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C1239" w:rsidP="00064C75"/>
          <w:p w:rsidR="008423E4" w:rsidRDefault="008C1239" w:rsidP="00064C75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contend that the requirement for </w:t>
            </w:r>
            <w:r>
              <w:t xml:space="preserve">the administration of </w:t>
            </w:r>
            <w:r>
              <w:t>prophylaxis</w:t>
            </w:r>
            <w:r>
              <w:t xml:space="preserve"> to a newborn</w:t>
            </w:r>
            <w:r>
              <w:t xml:space="preserve"> infant</w:t>
            </w:r>
            <w:r>
              <w:t xml:space="preserve"> </w:t>
            </w:r>
            <w:r>
              <w:t xml:space="preserve">for the prevention of ophthalmia neonatorum </w:t>
            </w:r>
            <w:r>
              <w:t xml:space="preserve">does not account for </w:t>
            </w:r>
            <w:r>
              <w:t xml:space="preserve">situations in which the </w:t>
            </w:r>
            <w:r>
              <w:t>infant</w:t>
            </w:r>
            <w:r>
              <w:t>'s parents</w:t>
            </w:r>
            <w:r>
              <w:t>, managing conservator, or guardian</w:t>
            </w:r>
            <w:r>
              <w:t xml:space="preserve"> object to</w:t>
            </w:r>
            <w:r>
              <w:t xml:space="preserve"> the </w:t>
            </w:r>
            <w:r>
              <w:t>administration</w:t>
            </w:r>
            <w:r>
              <w:t xml:space="preserve"> of the </w:t>
            </w:r>
            <w:r>
              <w:t>prophylaxis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H.B. 2886 seeks to</w:t>
            </w:r>
            <w:r>
              <w:t xml:space="preserve"> protect </w:t>
            </w:r>
            <w:r>
              <w:t>health</w:t>
            </w:r>
            <w:r>
              <w:t xml:space="preserve"> </w:t>
            </w:r>
            <w:r>
              <w:t xml:space="preserve">care </w:t>
            </w:r>
            <w:r>
              <w:t>providers from any lega</w:t>
            </w:r>
            <w:r>
              <w:t>l ramifications resulting from a parent’s</w:t>
            </w:r>
            <w:r>
              <w:t>, managing conservator's, or guardian's</w:t>
            </w:r>
            <w:r>
              <w:t xml:space="preserve"> </w:t>
            </w:r>
            <w:r>
              <w:t>objection to having</w:t>
            </w:r>
            <w:r>
              <w:t xml:space="preserve"> the </w:t>
            </w:r>
            <w:r>
              <w:t>prophylaxis</w:t>
            </w:r>
            <w:r>
              <w:t xml:space="preserve"> administered to the</w:t>
            </w:r>
            <w:r>
              <w:t xml:space="preserve"> </w:t>
            </w:r>
            <w:r>
              <w:t>infant</w:t>
            </w:r>
            <w:r>
              <w:t>.</w:t>
            </w:r>
          </w:p>
          <w:p w:rsidR="008423E4" w:rsidRPr="00E26B13" w:rsidRDefault="008C1239" w:rsidP="00064C75">
            <w:pPr>
              <w:rPr>
                <w:b/>
              </w:rPr>
            </w:pPr>
          </w:p>
        </w:tc>
      </w:tr>
      <w:tr w:rsidR="00447BDD" w:rsidTr="001A74F5">
        <w:tc>
          <w:tcPr>
            <w:tcW w:w="9582" w:type="dxa"/>
          </w:tcPr>
          <w:p w:rsidR="0017725B" w:rsidRDefault="008C1239" w:rsidP="00064C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C1239" w:rsidP="00064C75">
            <w:pPr>
              <w:rPr>
                <w:b/>
                <w:u w:val="single"/>
              </w:rPr>
            </w:pPr>
          </w:p>
          <w:p w:rsidR="006C13E0" w:rsidRPr="006C13E0" w:rsidRDefault="008C1239" w:rsidP="00064C75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C1239" w:rsidP="00064C75">
            <w:pPr>
              <w:rPr>
                <w:b/>
                <w:u w:val="single"/>
              </w:rPr>
            </w:pPr>
          </w:p>
        </w:tc>
      </w:tr>
      <w:tr w:rsidR="00447BDD" w:rsidTr="001A74F5">
        <w:tc>
          <w:tcPr>
            <w:tcW w:w="9582" w:type="dxa"/>
          </w:tcPr>
          <w:p w:rsidR="008423E4" w:rsidRPr="00A8133F" w:rsidRDefault="008C1239" w:rsidP="00064C7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C1239" w:rsidP="00064C75"/>
          <w:p w:rsidR="006C13E0" w:rsidRDefault="008C1239" w:rsidP="00064C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8C1239" w:rsidP="00064C75">
            <w:pPr>
              <w:rPr>
                <w:b/>
              </w:rPr>
            </w:pPr>
          </w:p>
        </w:tc>
      </w:tr>
      <w:tr w:rsidR="00447BDD" w:rsidTr="001A74F5">
        <w:tc>
          <w:tcPr>
            <w:tcW w:w="9582" w:type="dxa"/>
          </w:tcPr>
          <w:p w:rsidR="008423E4" w:rsidRPr="00A8133F" w:rsidRDefault="008C1239" w:rsidP="00064C7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</w:p>
          <w:p w:rsidR="008423E4" w:rsidRDefault="008C1239" w:rsidP="00064C75"/>
          <w:p w:rsidR="006C13E0" w:rsidRDefault="008C1239" w:rsidP="00064C75">
            <w:pPr>
              <w:pStyle w:val="Header"/>
              <w:tabs>
                <w:tab w:val="clear" w:pos="4320"/>
                <w:tab w:val="clear" w:pos="8640"/>
                <w:tab w:val="left" w:pos="1260"/>
              </w:tabs>
              <w:jc w:val="both"/>
            </w:pPr>
            <w:r>
              <w:t>C.S.H.B. 2886 amends the</w:t>
            </w:r>
            <w:r>
              <w:t xml:space="preserve"> Health and Safety Code to establish that </w:t>
            </w:r>
            <w:r>
              <w:t xml:space="preserve">a </w:t>
            </w:r>
            <w:r>
              <w:t xml:space="preserve">physician, nurse, midwife, or other </w:t>
            </w:r>
            <w:r>
              <w:t>person in attendan</w:t>
            </w:r>
            <w:r>
              <w:t xml:space="preserve">ce at childbirth who is unable to apply prophylaxis </w:t>
            </w:r>
            <w:r>
              <w:t xml:space="preserve">approved by the executive commissioner of the Health and Human Services Commission </w:t>
            </w:r>
            <w:r>
              <w:t>to</w:t>
            </w:r>
            <w:r>
              <w:t xml:space="preserve"> prevent ophthalmia neonatorum </w:t>
            </w:r>
            <w:r>
              <w:t xml:space="preserve">due to the objection of </w:t>
            </w:r>
            <w:r>
              <w:t xml:space="preserve">a </w:t>
            </w:r>
            <w:r>
              <w:t>parent, managing conservator, or guardian o</w:t>
            </w:r>
            <w:r>
              <w:t>f the newborn</w:t>
            </w:r>
            <w:r>
              <w:t xml:space="preserve"> infan</w:t>
            </w:r>
            <w:r>
              <w:t>t</w:t>
            </w:r>
            <w:r>
              <w:t xml:space="preserve"> does not commit a</w:t>
            </w:r>
            <w:r>
              <w:t xml:space="preserve"> </w:t>
            </w:r>
            <w:r>
              <w:t xml:space="preserve">Class B misdemeanor criminal offense </w:t>
            </w:r>
            <w:r>
              <w:t xml:space="preserve">for failure to perform </w:t>
            </w:r>
            <w:r>
              <w:t xml:space="preserve">a duty under statutory provisions relating to </w:t>
            </w:r>
            <w:r w:rsidRPr="00D81105">
              <w:t xml:space="preserve">ophthalmia neonatorum </w:t>
            </w:r>
            <w:r>
              <w:t xml:space="preserve">prevention </w:t>
            </w:r>
            <w:r>
              <w:t>and</w:t>
            </w:r>
            <w:r>
              <w:t xml:space="preserve"> to </w:t>
            </w:r>
            <w:r>
              <w:t xml:space="preserve">establish that such </w:t>
            </w:r>
            <w:r>
              <w:t xml:space="preserve">a </w:t>
            </w:r>
            <w:r>
              <w:t>person is not subject to criminal, civil, or administrative liabilit</w:t>
            </w:r>
            <w:r>
              <w:t xml:space="preserve">y </w:t>
            </w:r>
            <w:r w:rsidRPr="003570D0">
              <w:t xml:space="preserve">or any professional disciplinary action </w:t>
            </w:r>
            <w:r>
              <w:t xml:space="preserve">for failure to administer the </w:t>
            </w:r>
            <w:r>
              <w:t>prophylaxis</w:t>
            </w:r>
            <w:r>
              <w:t>. The</w:t>
            </w:r>
            <w:r>
              <w:t xml:space="preserve"> bill requires the </w:t>
            </w:r>
            <w:r>
              <w:t xml:space="preserve">physician, nurse, midwife, or </w:t>
            </w:r>
            <w:r>
              <w:t>pers</w:t>
            </w:r>
            <w:r>
              <w:t>on to</w:t>
            </w:r>
            <w:r>
              <w:t xml:space="preserve"> ensure that the objection of the parent, managing conservator, or guardian is entered into the medical record of the</w:t>
            </w:r>
            <w:r>
              <w:t xml:space="preserve"> infant</w:t>
            </w:r>
            <w:r>
              <w:t>.</w:t>
            </w:r>
          </w:p>
          <w:p w:rsidR="008423E4" w:rsidRPr="00835628" w:rsidRDefault="008C1239" w:rsidP="00064C75">
            <w:pPr>
              <w:rPr>
                <w:b/>
              </w:rPr>
            </w:pPr>
          </w:p>
        </w:tc>
      </w:tr>
      <w:tr w:rsidR="00447BDD" w:rsidTr="001A74F5">
        <w:tc>
          <w:tcPr>
            <w:tcW w:w="9582" w:type="dxa"/>
          </w:tcPr>
          <w:p w:rsidR="008423E4" w:rsidRPr="00A8133F" w:rsidRDefault="008C1239" w:rsidP="00064C7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C1239" w:rsidP="00064C75"/>
          <w:p w:rsidR="008423E4" w:rsidRDefault="008C1239" w:rsidP="00064C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B7D3D" w:rsidRPr="003624F2" w:rsidRDefault="008C1239" w:rsidP="00064C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233FDB" w:rsidRDefault="008C1239" w:rsidP="00064C75">
            <w:pPr>
              <w:rPr>
                <w:b/>
              </w:rPr>
            </w:pPr>
          </w:p>
        </w:tc>
      </w:tr>
      <w:tr w:rsidR="00447BDD" w:rsidTr="001A74F5">
        <w:tc>
          <w:tcPr>
            <w:tcW w:w="9582" w:type="dxa"/>
          </w:tcPr>
          <w:p w:rsidR="001A74F5" w:rsidRDefault="008C1239" w:rsidP="00064C7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D3DBE" w:rsidRDefault="008C1239" w:rsidP="00064C75">
            <w:pPr>
              <w:jc w:val="both"/>
            </w:pPr>
          </w:p>
          <w:p w:rsidR="00ED3DBE" w:rsidRDefault="008C1239" w:rsidP="00064C75">
            <w:pPr>
              <w:jc w:val="both"/>
            </w:pPr>
            <w:r>
              <w:t xml:space="preserve">While C.S.H.B. 2886 may differ from the original </w:t>
            </w:r>
            <w:r>
              <w:t>in minor or nonsubstantive ways, the following comparison is organized and formatted in a manner that indicates the substantial differences between the introduced and committee substitute versions of the bill.</w:t>
            </w:r>
          </w:p>
          <w:p w:rsidR="00ED3DBE" w:rsidRPr="00ED3DBE" w:rsidRDefault="008C1239" w:rsidP="00064C75">
            <w:pPr>
              <w:jc w:val="both"/>
            </w:pPr>
          </w:p>
        </w:tc>
      </w:tr>
      <w:tr w:rsidR="00447BDD" w:rsidTr="001A74F5">
        <w:tc>
          <w:tcPr>
            <w:tcW w:w="9582" w:type="dxa"/>
          </w:tcPr>
          <w:tbl>
            <w:tblPr>
              <w:tblW w:w="9359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79"/>
            </w:tblGrid>
            <w:tr w:rsidR="00447BDD" w:rsidTr="00ED3DBE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1A74F5" w:rsidRDefault="008C1239" w:rsidP="00064C75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9" w:type="dxa"/>
                  <w:tcMar>
                    <w:bottom w:w="188" w:type="dxa"/>
                  </w:tcMar>
                </w:tcPr>
                <w:p w:rsidR="001A74F5" w:rsidRDefault="008C1239" w:rsidP="00064C75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447BDD" w:rsidTr="00ED3DBE">
              <w:tc>
                <w:tcPr>
                  <w:tcW w:w="4680" w:type="dxa"/>
                  <w:tcMar>
                    <w:right w:w="360" w:type="dxa"/>
                  </w:tcMar>
                </w:tcPr>
                <w:p w:rsidR="001A74F5" w:rsidRDefault="008C1239" w:rsidP="00064C75">
                  <w:pPr>
                    <w:jc w:val="both"/>
                  </w:pPr>
                  <w:r>
                    <w:t>SECTI</w:t>
                  </w:r>
                  <w:r>
                    <w:t>ON 1.  Section 81.091, Health and Safety Code, is amended by amending Subsection (g) and adding Subsection (g-1) to read as follows:</w:t>
                  </w:r>
                </w:p>
                <w:p w:rsidR="001A74F5" w:rsidRDefault="008C1239" w:rsidP="00064C75">
                  <w:pPr>
                    <w:jc w:val="both"/>
                  </w:pPr>
                  <w:r>
                    <w:t xml:space="preserve">(g)  </w:t>
                  </w:r>
                  <w:r>
                    <w:rPr>
                      <w:u w:val="single"/>
                    </w:rPr>
                    <w:t>Except as provided by Subsection (g-1), a</w:t>
                  </w:r>
                  <w:r>
                    <w:t xml:space="preserve"> [</w:t>
                  </w:r>
                  <w:r>
                    <w:rPr>
                      <w:strike/>
                    </w:rPr>
                    <w:t>A</w:t>
                  </w:r>
                  <w:r>
                    <w:t>] person commits an offense if the person is a physician or other person i</w:t>
                  </w:r>
                  <w:r>
                    <w:t>n attendance on a pregnant woman either during pregnancy or at delivery and fails to perform a duty required by this section.  An offense under this section is a Class B misdemeanor.</w:t>
                  </w:r>
                </w:p>
                <w:p w:rsidR="001667CE" w:rsidRDefault="008C1239" w:rsidP="00064C75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(g-1)  A physician, nurse, midwife, or other person in  attendance at chi</w:t>
                  </w:r>
                  <w:r>
                    <w:rPr>
                      <w:u w:val="single"/>
                    </w:rPr>
                    <w:t xml:space="preserve">ldbirth who is unable to apply the prophylaxis due to the objection of </w:t>
                  </w:r>
                  <w:r w:rsidRPr="00D5566C">
                    <w:rPr>
                      <w:highlight w:val="lightGray"/>
                      <w:u w:val="single"/>
                    </w:rPr>
                    <w:t>the parents</w:t>
                  </w:r>
                  <w:r>
                    <w:rPr>
                      <w:u w:val="single"/>
                    </w:rPr>
                    <w:t xml:space="preserve">, managing conservator, or guardian of the newborn does not commit an offense under this section and </w:t>
                  </w:r>
                  <w:r w:rsidRPr="009C0CE6">
                    <w:rPr>
                      <w:highlight w:val="lightGray"/>
                      <w:u w:val="single"/>
                    </w:rPr>
                    <w:t>may not be prosecuted</w:t>
                  </w:r>
                  <w:r>
                    <w:rPr>
                      <w:u w:val="single"/>
                    </w:rPr>
                    <w:t xml:space="preserve"> for failure to administer the prophylaxis </w:t>
                  </w:r>
                  <w:r w:rsidRPr="001667CE">
                    <w:rPr>
                      <w:highlight w:val="lightGray"/>
                      <w:u w:val="single"/>
                    </w:rPr>
                    <w:t>as  requi</w:t>
                  </w:r>
                  <w:r w:rsidRPr="001667CE">
                    <w:rPr>
                      <w:highlight w:val="lightGray"/>
                      <w:u w:val="single"/>
                    </w:rPr>
                    <w:t>red by this section</w:t>
                  </w:r>
                  <w:r>
                    <w:rPr>
                      <w:u w:val="single"/>
                    </w:rPr>
                    <w:t xml:space="preserve">.  </w:t>
                  </w:r>
                </w:p>
                <w:p w:rsidR="001667CE" w:rsidRDefault="008C1239" w:rsidP="00064C75">
                  <w:pPr>
                    <w:jc w:val="both"/>
                    <w:rPr>
                      <w:u w:val="single"/>
                    </w:rPr>
                  </w:pPr>
                </w:p>
                <w:p w:rsidR="001A74F5" w:rsidRDefault="008C1239" w:rsidP="00064C75">
                  <w:pPr>
                    <w:jc w:val="both"/>
                  </w:pPr>
                  <w:r>
                    <w:rPr>
                      <w:u w:val="single"/>
                    </w:rPr>
                    <w:t xml:space="preserve">The physician, nurse, midwife, </w:t>
                  </w:r>
                  <w:r w:rsidRPr="009C0CE6">
                    <w:rPr>
                      <w:u w:val="single"/>
                    </w:rPr>
                    <w:t>or other person in attendance at childbirth shall</w:t>
                  </w:r>
                  <w:r>
                    <w:rPr>
                      <w:u w:val="single"/>
                    </w:rPr>
                    <w:t xml:space="preserve"> ensure that the objection of the parent, managing conservator, or guardian is entered into  the medical record of the </w:t>
                  </w:r>
                  <w:r w:rsidRPr="001667CE">
                    <w:rPr>
                      <w:highlight w:val="lightGray"/>
                      <w:u w:val="single"/>
                    </w:rPr>
                    <w:t>child</w:t>
                  </w:r>
                  <w:r w:rsidRPr="001667CE">
                    <w:rPr>
                      <w:u w:val="single"/>
                    </w:rPr>
                    <w:t xml:space="preserve">. </w:t>
                  </w:r>
                  <w:r w:rsidRPr="001667CE">
                    <w:rPr>
                      <w:highlight w:val="lightGray"/>
                      <w:u w:val="single"/>
                    </w:rPr>
                    <w:t xml:space="preserve"> The parent, managing cons</w:t>
                  </w:r>
                  <w:r w:rsidRPr="001667CE">
                    <w:rPr>
                      <w:highlight w:val="lightGray"/>
                      <w:u w:val="single"/>
                    </w:rPr>
                    <w:t>ervator,  or guardian shall sign the entry.</w:t>
                  </w:r>
                </w:p>
              </w:tc>
              <w:tc>
                <w:tcPr>
                  <w:tcW w:w="4679" w:type="dxa"/>
                  <w:tcMar>
                    <w:left w:w="360" w:type="dxa"/>
                  </w:tcMar>
                </w:tcPr>
                <w:p w:rsidR="001A74F5" w:rsidRDefault="008C1239" w:rsidP="00064C75">
                  <w:pPr>
                    <w:jc w:val="both"/>
                  </w:pPr>
                  <w:r>
                    <w:t>SECTION 1.  Section 81.091, Health and Safety Code, is amended by amending Subsection (g) and adding Subsection (g-1) to read as follows:</w:t>
                  </w:r>
                </w:p>
                <w:p w:rsidR="001A74F5" w:rsidRDefault="008C1239" w:rsidP="00064C75">
                  <w:pPr>
                    <w:jc w:val="both"/>
                  </w:pPr>
                  <w:r>
                    <w:t xml:space="preserve">(g)  </w:t>
                  </w:r>
                  <w:r>
                    <w:rPr>
                      <w:u w:val="single"/>
                    </w:rPr>
                    <w:t>Except as provided by Subsection (g-1), a</w:t>
                  </w:r>
                  <w:r>
                    <w:t xml:space="preserve"> [</w:t>
                  </w:r>
                  <w:r>
                    <w:rPr>
                      <w:strike/>
                    </w:rPr>
                    <w:t>A</w:t>
                  </w:r>
                  <w:r>
                    <w:t xml:space="preserve">] person commits an </w:t>
                  </w:r>
                  <w:r>
                    <w:t>offense if the person is a physician or other person in attendance on a pregnant woman either during pregnancy or at delivery and fails to perform a duty required by this section.  An offense under this section is a Class B misdemeanor.</w:t>
                  </w:r>
                </w:p>
                <w:p w:rsidR="001667CE" w:rsidRDefault="008C1239" w:rsidP="00064C75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(g-1)  A physician,</w:t>
                  </w:r>
                  <w:r>
                    <w:rPr>
                      <w:u w:val="single"/>
                    </w:rPr>
                    <w:t xml:space="preserve"> nurse, midwife, or other person in attendance at childbirth who is unable to apply the prophylaxis </w:t>
                  </w:r>
                  <w:r w:rsidRPr="00D5566C">
                    <w:rPr>
                      <w:highlight w:val="lightGray"/>
                      <w:u w:val="single"/>
                    </w:rPr>
                    <w:t>as required by this section</w:t>
                  </w:r>
                  <w:r>
                    <w:rPr>
                      <w:u w:val="single"/>
                    </w:rPr>
                    <w:t xml:space="preserve"> due to the objection of </w:t>
                  </w:r>
                  <w:r w:rsidRPr="00D5566C">
                    <w:rPr>
                      <w:highlight w:val="lightGray"/>
                      <w:u w:val="single"/>
                    </w:rPr>
                    <w:t>a parent</w:t>
                  </w:r>
                  <w:r>
                    <w:rPr>
                      <w:u w:val="single"/>
                    </w:rPr>
                    <w:t xml:space="preserve">, managing conservator, or guardian of the newborn </w:t>
                  </w:r>
                  <w:r w:rsidRPr="00F07912">
                    <w:rPr>
                      <w:u w:val="single"/>
                    </w:rPr>
                    <w:t>infant</w:t>
                  </w:r>
                  <w:r w:rsidRPr="00802585">
                    <w:rPr>
                      <w:u w:val="single"/>
                    </w:rPr>
                    <w:t xml:space="preserve"> do</w:t>
                  </w:r>
                  <w:r>
                    <w:rPr>
                      <w:u w:val="single"/>
                    </w:rPr>
                    <w:t xml:space="preserve">es not commit an offense under this </w:t>
                  </w:r>
                  <w:r>
                    <w:rPr>
                      <w:u w:val="single"/>
                    </w:rPr>
                    <w:t xml:space="preserve">section and </w:t>
                  </w:r>
                  <w:r w:rsidRPr="009C0CE6">
                    <w:rPr>
                      <w:highlight w:val="lightGray"/>
                      <w:u w:val="single"/>
                    </w:rPr>
                    <w:t xml:space="preserve">is not </w:t>
                  </w:r>
                  <w:r w:rsidRPr="001667CE">
                    <w:rPr>
                      <w:highlight w:val="lightGray"/>
                      <w:u w:val="single"/>
                    </w:rPr>
                    <w:t>subject to criminal, civil, or administrative liability or any professional disciplinary action</w:t>
                  </w:r>
                  <w:r>
                    <w:rPr>
                      <w:u w:val="single"/>
                    </w:rPr>
                    <w:t xml:space="preserve"> for failure to administer the prophylaxis.  </w:t>
                  </w:r>
                </w:p>
                <w:p w:rsidR="001A74F5" w:rsidRDefault="008C1239" w:rsidP="00064C75">
                  <w:pPr>
                    <w:jc w:val="both"/>
                  </w:pPr>
                  <w:r>
                    <w:rPr>
                      <w:u w:val="single"/>
                    </w:rPr>
                    <w:t xml:space="preserve">The physician, nurse, midwife, or person shall ensure that the objection of the parent, managing conservator, or guardian is entered into the medical record of the </w:t>
                  </w:r>
                  <w:r w:rsidRPr="001667CE">
                    <w:rPr>
                      <w:highlight w:val="lightGray"/>
                      <w:u w:val="single"/>
                    </w:rPr>
                    <w:t>infant</w:t>
                  </w:r>
                  <w:r>
                    <w:rPr>
                      <w:u w:val="single"/>
                    </w:rPr>
                    <w:t>.</w:t>
                  </w:r>
                </w:p>
                <w:p w:rsidR="001A74F5" w:rsidRDefault="008C1239" w:rsidP="00064C75">
                  <w:pPr>
                    <w:jc w:val="both"/>
                  </w:pPr>
                </w:p>
              </w:tc>
            </w:tr>
            <w:tr w:rsidR="00447BDD" w:rsidTr="00ED3DBE">
              <w:tc>
                <w:tcPr>
                  <w:tcW w:w="4680" w:type="dxa"/>
                  <w:tcMar>
                    <w:right w:w="360" w:type="dxa"/>
                  </w:tcMar>
                </w:tcPr>
                <w:p w:rsidR="001A74F5" w:rsidRDefault="008C1239" w:rsidP="00064C75">
                  <w:pPr>
                    <w:jc w:val="both"/>
                  </w:pPr>
                  <w:r>
                    <w:t>SECTION 2.  This Act takes effect September 1, 2017.</w:t>
                  </w:r>
                </w:p>
                <w:p w:rsidR="001A74F5" w:rsidRDefault="008C1239" w:rsidP="00064C75">
                  <w:pPr>
                    <w:jc w:val="both"/>
                  </w:pPr>
                </w:p>
              </w:tc>
              <w:tc>
                <w:tcPr>
                  <w:tcW w:w="4679" w:type="dxa"/>
                  <w:tcMar>
                    <w:left w:w="360" w:type="dxa"/>
                  </w:tcMar>
                </w:tcPr>
                <w:p w:rsidR="001A74F5" w:rsidRDefault="008C1239" w:rsidP="00064C75">
                  <w:pPr>
                    <w:jc w:val="both"/>
                  </w:pPr>
                  <w:r>
                    <w:t>SECTION 2. Same as introduce</w:t>
                  </w:r>
                  <w:r>
                    <w:t>d version.</w:t>
                  </w:r>
                </w:p>
                <w:p w:rsidR="001A74F5" w:rsidRDefault="008C1239" w:rsidP="00064C75">
                  <w:pPr>
                    <w:jc w:val="both"/>
                  </w:pPr>
                </w:p>
                <w:p w:rsidR="001A74F5" w:rsidRDefault="008C1239" w:rsidP="00064C75">
                  <w:pPr>
                    <w:jc w:val="both"/>
                  </w:pPr>
                </w:p>
              </w:tc>
            </w:tr>
          </w:tbl>
          <w:p w:rsidR="001A74F5" w:rsidRDefault="008C1239" w:rsidP="00064C75"/>
          <w:p w:rsidR="001A74F5" w:rsidRPr="009C1E9A" w:rsidRDefault="008C1239" w:rsidP="00064C75">
            <w:pPr>
              <w:rPr>
                <w:b/>
                <w:u w:val="single"/>
              </w:rPr>
            </w:pPr>
          </w:p>
        </w:tc>
      </w:tr>
    </w:tbl>
    <w:p w:rsidR="008423E4" w:rsidRPr="00BE0E75" w:rsidRDefault="008C123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C123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1239">
      <w:r>
        <w:separator/>
      </w:r>
    </w:p>
  </w:endnote>
  <w:endnote w:type="continuationSeparator" w:id="0">
    <w:p w:rsidR="00000000" w:rsidRDefault="008C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47BDD" w:rsidTr="009C1E9A">
      <w:trPr>
        <w:cantSplit/>
      </w:trPr>
      <w:tc>
        <w:tcPr>
          <w:tcW w:w="0" w:type="pct"/>
        </w:tcPr>
        <w:p w:rsidR="00137D90" w:rsidRDefault="008C12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C123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C123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C12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C12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47BDD" w:rsidTr="009C1E9A">
      <w:trPr>
        <w:cantSplit/>
      </w:trPr>
      <w:tc>
        <w:tcPr>
          <w:tcW w:w="0" w:type="pct"/>
        </w:tcPr>
        <w:p w:rsidR="00EC379B" w:rsidRDefault="008C12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C123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25308</w:t>
          </w:r>
        </w:p>
      </w:tc>
      <w:tc>
        <w:tcPr>
          <w:tcW w:w="2453" w:type="pct"/>
        </w:tcPr>
        <w:p w:rsidR="00EC379B" w:rsidRDefault="008C12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17.111.1232</w:t>
          </w:r>
          <w:r>
            <w:fldChar w:fldCharType="end"/>
          </w:r>
        </w:p>
      </w:tc>
    </w:tr>
    <w:tr w:rsidR="00447BDD" w:rsidTr="009C1E9A">
      <w:trPr>
        <w:cantSplit/>
      </w:trPr>
      <w:tc>
        <w:tcPr>
          <w:tcW w:w="0" w:type="pct"/>
        </w:tcPr>
        <w:p w:rsidR="00EC379B" w:rsidRDefault="008C123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C123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21377</w:t>
          </w:r>
        </w:p>
      </w:tc>
      <w:tc>
        <w:tcPr>
          <w:tcW w:w="2453" w:type="pct"/>
        </w:tcPr>
        <w:p w:rsidR="00EC379B" w:rsidRDefault="008C1239" w:rsidP="006D504F">
          <w:pPr>
            <w:pStyle w:val="Footer"/>
            <w:rPr>
              <w:rStyle w:val="PageNumber"/>
            </w:rPr>
          </w:pPr>
        </w:p>
        <w:p w:rsidR="00EC379B" w:rsidRDefault="008C12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47BD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C123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C123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C123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1239">
      <w:r>
        <w:separator/>
      </w:r>
    </w:p>
  </w:footnote>
  <w:footnote w:type="continuationSeparator" w:id="0">
    <w:p w:rsidR="00000000" w:rsidRDefault="008C1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DD"/>
    <w:rsid w:val="00447BDD"/>
    <w:rsid w:val="008C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F58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58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5865"/>
  </w:style>
  <w:style w:type="paragraph" w:styleId="CommentSubject">
    <w:name w:val="annotation subject"/>
    <w:basedOn w:val="CommentText"/>
    <w:next w:val="CommentText"/>
    <w:link w:val="CommentSubjectChar"/>
    <w:rsid w:val="009F5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5865"/>
    <w:rPr>
      <w:b/>
      <w:bCs/>
    </w:rPr>
  </w:style>
  <w:style w:type="character" w:styleId="Hyperlink">
    <w:name w:val="Hyperlink"/>
    <w:basedOn w:val="DefaultParagraphFont"/>
    <w:rsid w:val="008A233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63A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F58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58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5865"/>
  </w:style>
  <w:style w:type="paragraph" w:styleId="CommentSubject">
    <w:name w:val="annotation subject"/>
    <w:basedOn w:val="CommentText"/>
    <w:next w:val="CommentText"/>
    <w:link w:val="CommentSubjectChar"/>
    <w:rsid w:val="009F5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5865"/>
    <w:rPr>
      <w:b/>
      <w:bCs/>
    </w:rPr>
  </w:style>
  <w:style w:type="character" w:styleId="Hyperlink">
    <w:name w:val="Hyperlink"/>
    <w:basedOn w:val="DefaultParagraphFont"/>
    <w:rsid w:val="008A233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63A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3865</Characters>
  <Application>Microsoft Office Word</Application>
  <DocSecurity>4</DocSecurity>
  <Lines>122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HB02886 (Committee Report (Substituted))</vt:lpstr>
    </vt:vector>
  </TitlesOfParts>
  <Company>State of Texas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25308</dc:subject>
  <dc:creator>State of Texas</dc:creator>
  <dc:description>HB 2886 by Klick-(H)Public Health (Substitute Document Number: 85R 21377)</dc:description>
  <cp:lastModifiedBy>Molly Hoffman-Bricker</cp:lastModifiedBy>
  <cp:revision>2</cp:revision>
  <cp:lastPrinted>2017-04-23T01:30:00Z</cp:lastPrinted>
  <dcterms:created xsi:type="dcterms:W3CDTF">2017-04-28T14:54:00Z</dcterms:created>
  <dcterms:modified xsi:type="dcterms:W3CDTF">2017-04-28T14:54:00Z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17.111.1232</vt:lpwstr>
  </property>
</Properties>
</file>