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4F60F1" w:rsidTr="00345119">
        <w:tc>
          <w:tcPr>
            <w:tcW w:w="9576" w:type="dxa"/>
            <w:noWrap/>
          </w:tcPr>
          <w:p w:rsidR="008423E4" w:rsidRPr="0022177D" w:rsidRDefault="00A9413A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A9413A" w:rsidP="008423E4">
      <w:pPr>
        <w:jc w:val="center"/>
      </w:pPr>
    </w:p>
    <w:p w:rsidR="008423E4" w:rsidRPr="00B31F0E" w:rsidRDefault="00A9413A" w:rsidP="008423E4"/>
    <w:p w:rsidR="008423E4" w:rsidRPr="00742794" w:rsidRDefault="00A9413A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4F60F1" w:rsidTr="00345119">
        <w:tc>
          <w:tcPr>
            <w:tcW w:w="9576" w:type="dxa"/>
          </w:tcPr>
          <w:p w:rsidR="008423E4" w:rsidRPr="00861995" w:rsidRDefault="00A9413A" w:rsidP="00345119">
            <w:pPr>
              <w:jc w:val="right"/>
            </w:pPr>
            <w:r>
              <w:t>H.B. 2898</w:t>
            </w:r>
          </w:p>
        </w:tc>
      </w:tr>
      <w:tr w:rsidR="004F60F1" w:rsidTr="00345119">
        <w:tc>
          <w:tcPr>
            <w:tcW w:w="9576" w:type="dxa"/>
          </w:tcPr>
          <w:p w:rsidR="008423E4" w:rsidRPr="00861995" w:rsidRDefault="00A9413A" w:rsidP="006A4F1F">
            <w:pPr>
              <w:jc w:val="right"/>
            </w:pPr>
            <w:r>
              <w:t xml:space="preserve">By: </w:t>
            </w:r>
            <w:r>
              <w:t>Gonzales, Larry</w:t>
            </w:r>
          </w:p>
        </w:tc>
      </w:tr>
      <w:tr w:rsidR="004F60F1" w:rsidTr="00345119">
        <w:tc>
          <w:tcPr>
            <w:tcW w:w="9576" w:type="dxa"/>
          </w:tcPr>
          <w:p w:rsidR="008423E4" w:rsidRPr="00861995" w:rsidRDefault="00A9413A" w:rsidP="00345119">
            <w:pPr>
              <w:jc w:val="right"/>
            </w:pPr>
            <w:r>
              <w:t>Public Health</w:t>
            </w:r>
          </w:p>
        </w:tc>
      </w:tr>
      <w:tr w:rsidR="004F60F1" w:rsidTr="00345119">
        <w:tc>
          <w:tcPr>
            <w:tcW w:w="9576" w:type="dxa"/>
          </w:tcPr>
          <w:p w:rsidR="008423E4" w:rsidRDefault="00A9413A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A9413A" w:rsidP="008423E4">
      <w:pPr>
        <w:tabs>
          <w:tab w:val="right" w:pos="9360"/>
        </w:tabs>
      </w:pPr>
    </w:p>
    <w:p w:rsidR="008423E4" w:rsidRDefault="00A9413A" w:rsidP="008423E4"/>
    <w:p w:rsidR="008423E4" w:rsidRDefault="00A9413A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4F60F1" w:rsidTr="00345119">
        <w:tc>
          <w:tcPr>
            <w:tcW w:w="9576" w:type="dxa"/>
          </w:tcPr>
          <w:p w:rsidR="008423E4" w:rsidRPr="00A8133F" w:rsidRDefault="00A9413A" w:rsidP="002F03C5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A9413A" w:rsidP="002F03C5"/>
          <w:p w:rsidR="008423E4" w:rsidRDefault="00A9413A" w:rsidP="002F03C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650DB9">
              <w:t>The Texas State Board of Examiners of Psychologists, the Texas State Board of Examiners of Marriage and Family Therapists, the Texas</w:t>
            </w:r>
            <w:r w:rsidRPr="00650DB9">
              <w:t xml:space="preserve"> State Board of Examiners of Professional Counselors, and the Texas State Board of Social Work</w:t>
            </w:r>
            <w:r>
              <w:t>er</w:t>
            </w:r>
            <w:r w:rsidRPr="00650DB9">
              <w:t xml:space="preserve"> Examiners license and regulate occupations that provide mental and behavioral health care in Texas. These boards are subject to the Texas Sunset Act and will b</w:t>
            </w:r>
            <w:r w:rsidRPr="00650DB9">
              <w:t>e abolished on September 1, 2017, unless continued by the legislature. H.B. 2898 seeks to create the Texas Behavioral Health Executive Council and consolidate each board</w:t>
            </w:r>
            <w:r>
              <w:t>,</w:t>
            </w:r>
            <w:r w:rsidRPr="00650DB9">
              <w:t xml:space="preserve"> as well as the Council on Sex Offender Treatment and the regulation of chemical depen</w:t>
            </w:r>
            <w:r w:rsidRPr="00650DB9">
              <w:t>dency counselors</w:t>
            </w:r>
            <w:r>
              <w:t>,</w:t>
            </w:r>
            <w:r w:rsidRPr="00650DB9">
              <w:t xml:space="preserve"> under </w:t>
            </w:r>
            <w:r>
              <w:t>the executive council</w:t>
            </w:r>
            <w:r w:rsidRPr="00650DB9">
              <w:t>. The bill also seeks to make several other statutory modifications recommended by the Sunset Advisory Commission.</w:t>
            </w:r>
          </w:p>
          <w:p w:rsidR="008423E4" w:rsidRPr="00E26B13" w:rsidRDefault="00A9413A" w:rsidP="002F03C5">
            <w:pPr>
              <w:rPr>
                <w:b/>
              </w:rPr>
            </w:pPr>
          </w:p>
        </w:tc>
      </w:tr>
      <w:tr w:rsidR="004F60F1" w:rsidTr="00345119">
        <w:tc>
          <w:tcPr>
            <w:tcW w:w="9576" w:type="dxa"/>
          </w:tcPr>
          <w:p w:rsidR="0017725B" w:rsidRDefault="00A9413A" w:rsidP="002F03C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A9413A" w:rsidP="002F03C5">
            <w:pPr>
              <w:rPr>
                <w:b/>
                <w:u w:val="single"/>
              </w:rPr>
            </w:pPr>
          </w:p>
          <w:p w:rsidR="000C2BF7" w:rsidRPr="000C2BF7" w:rsidRDefault="00A9413A" w:rsidP="002F03C5">
            <w:pPr>
              <w:jc w:val="both"/>
            </w:pPr>
            <w:r>
              <w:t>It is the committee's opinion that this bill does not expressly creat</w:t>
            </w:r>
            <w:r>
              <w:t>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A9413A" w:rsidP="002F03C5">
            <w:pPr>
              <w:rPr>
                <w:b/>
                <w:u w:val="single"/>
              </w:rPr>
            </w:pPr>
          </w:p>
        </w:tc>
      </w:tr>
      <w:tr w:rsidR="004F60F1" w:rsidTr="00345119">
        <w:tc>
          <w:tcPr>
            <w:tcW w:w="9576" w:type="dxa"/>
          </w:tcPr>
          <w:p w:rsidR="008423E4" w:rsidRPr="00A8133F" w:rsidRDefault="00A9413A" w:rsidP="002F03C5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A9413A" w:rsidP="002F03C5"/>
          <w:p w:rsidR="00244BCE" w:rsidRDefault="00A9413A" w:rsidP="002F03C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</w:t>
            </w:r>
            <w:r>
              <w:t>n that rulemaking authority is expressly granted to the Texas Behavioral Health Executive Council in SECTIONS 1.001</w:t>
            </w:r>
            <w:r>
              <w:t>, 2.039,</w:t>
            </w:r>
            <w:r>
              <w:t xml:space="preserve"> and 2.044 of this bill.</w:t>
            </w:r>
          </w:p>
          <w:p w:rsidR="008423E4" w:rsidRPr="00E21FDC" w:rsidRDefault="00A9413A" w:rsidP="002F03C5">
            <w:pPr>
              <w:rPr>
                <w:b/>
              </w:rPr>
            </w:pPr>
          </w:p>
        </w:tc>
      </w:tr>
      <w:tr w:rsidR="004F60F1" w:rsidTr="00345119">
        <w:tc>
          <w:tcPr>
            <w:tcW w:w="9576" w:type="dxa"/>
          </w:tcPr>
          <w:p w:rsidR="008423E4" w:rsidRPr="00A8133F" w:rsidRDefault="00A9413A" w:rsidP="002F03C5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A9413A" w:rsidP="002F03C5"/>
          <w:p w:rsidR="008423E4" w:rsidRDefault="00A9413A" w:rsidP="002F03C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2898 amends the Occupations Code to create the Texas</w:t>
            </w:r>
            <w:r>
              <w:t xml:space="preserve"> Behavioral Health Executive Council, subject the </w:t>
            </w:r>
            <w:r>
              <w:t xml:space="preserve">executive </w:t>
            </w:r>
            <w:r>
              <w:t>council to the Texas</w:t>
            </w:r>
            <w:r>
              <w:t xml:space="preserve"> Sunset Act, and provide</w:t>
            </w:r>
            <w:r>
              <w:t xml:space="preserve"> for the composition, operation, and duties of the </w:t>
            </w:r>
            <w:r>
              <w:t xml:space="preserve">executive </w:t>
            </w:r>
            <w:r>
              <w:t xml:space="preserve">council. The bill requires the </w:t>
            </w:r>
            <w:r>
              <w:t xml:space="preserve">executive </w:t>
            </w:r>
            <w:r>
              <w:t>council to administer and enforce statutory provis</w:t>
            </w:r>
            <w:r>
              <w:t xml:space="preserve">ions relating to sex offender treatment, psychologists, marriage and family therapists, licensed professional counselors, chemical dependency counselors, and social workers. The bill establishes the </w:t>
            </w:r>
            <w:r>
              <w:t xml:space="preserve">executive </w:t>
            </w:r>
            <w:r>
              <w:t>council's rulemaking authority</w:t>
            </w:r>
            <w:r>
              <w:t xml:space="preserve"> and procedures f</w:t>
            </w:r>
            <w:r>
              <w:t xml:space="preserve">or disciplinary action. </w:t>
            </w:r>
          </w:p>
          <w:p w:rsidR="00CE6693" w:rsidRDefault="00A9413A" w:rsidP="002F03C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7F35AA" w:rsidRDefault="00A9413A" w:rsidP="002F03C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2898 transfers powers and duties</w:t>
            </w:r>
            <w:r>
              <w:t xml:space="preserve">, </w:t>
            </w:r>
            <w:r w:rsidRPr="009870E7">
              <w:t>including rulemaking,</w:t>
            </w:r>
            <w:r>
              <w:t xml:space="preserve"> </w:t>
            </w:r>
            <w:r>
              <w:t xml:space="preserve">from the </w:t>
            </w:r>
            <w:r>
              <w:t xml:space="preserve">applicable </w:t>
            </w:r>
            <w:r>
              <w:t xml:space="preserve">agencies </w:t>
            </w:r>
            <w:r>
              <w:t xml:space="preserve">for the </w:t>
            </w:r>
            <w:r>
              <w:t xml:space="preserve">licensing and </w:t>
            </w:r>
            <w:r>
              <w:t xml:space="preserve">regulation of </w:t>
            </w:r>
            <w:r>
              <w:t>certain mental and behavior health occupations</w:t>
            </w:r>
            <w:r>
              <w:t xml:space="preserve"> to the executive council: from the Council on Sex Offende</w:t>
            </w:r>
            <w:r>
              <w:t>r Treatment</w:t>
            </w:r>
            <w:r>
              <w:t xml:space="preserve"> for</w:t>
            </w:r>
            <w:r>
              <w:t xml:space="preserve"> sex offender treatment providers; from the Texas State</w:t>
            </w:r>
            <w:r>
              <w:t xml:space="preserve"> Board of</w:t>
            </w:r>
            <w:r>
              <w:t xml:space="preserve"> Examiners of Psychologists</w:t>
            </w:r>
            <w:r>
              <w:t xml:space="preserve"> for</w:t>
            </w:r>
            <w:r>
              <w:t xml:space="preserve"> psychologists, </w:t>
            </w:r>
            <w:r>
              <w:t xml:space="preserve">psychological associates, and licensed specialists in school psychology; from the </w:t>
            </w:r>
            <w:r w:rsidRPr="00426756">
              <w:t>Texas State Board of Examiners of Marriage and F</w:t>
            </w:r>
            <w:r w:rsidRPr="00426756">
              <w:t>amily Therapists</w:t>
            </w:r>
            <w:r>
              <w:t xml:space="preserve"> and the executive commissioner of </w:t>
            </w:r>
            <w:r>
              <w:t xml:space="preserve">the </w:t>
            </w:r>
            <w:r>
              <w:t>Health and Human Services</w:t>
            </w:r>
            <w:r>
              <w:t xml:space="preserve"> </w:t>
            </w:r>
            <w:r>
              <w:t xml:space="preserve">Commission </w:t>
            </w:r>
            <w:r>
              <w:t>for</w:t>
            </w:r>
            <w:r>
              <w:t xml:space="preserve"> </w:t>
            </w:r>
            <w:r w:rsidRPr="00426756">
              <w:t>marriage and family therapist</w:t>
            </w:r>
            <w:r>
              <w:t xml:space="preserve">s; from the </w:t>
            </w:r>
            <w:r w:rsidRPr="00426756">
              <w:t>Texas State Board of Examiners of Professional Counselors</w:t>
            </w:r>
            <w:r>
              <w:t xml:space="preserve"> for</w:t>
            </w:r>
            <w:r>
              <w:t xml:space="preserve"> professional counselors; from the Department of State Hea</w:t>
            </w:r>
            <w:r>
              <w:t>lth Services</w:t>
            </w:r>
            <w:r>
              <w:t xml:space="preserve"> </w:t>
            </w:r>
            <w:r>
              <w:t xml:space="preserve">and the executive commissioner of the Health and Human Services Commission </w:t>
            </w:r>
            <w:r>
              <w:t>for</w:t>
            </w:r>
            <w:r>
              <w:t xml:space="preserve"> chemical dependency counselors</w:t>
            </w:r>
            <w:r>
              <w:t xml:space="preserve">; </w:t>
            </w:r>
            <w:r>
              <w:t xml:space="preserve">and </w:t>
            </w:r>
            <w:r>
              <w:t xml:space="preserve">from the </w:t>
            </w:r>
            <w:r w:rsidRPr="005A5483">
              <w:t>Texas State Board of Social Worker Examiners</w:t>
            </w:r>
            <w:r>
              <w:t xml:space="preserve"> for</w:t>
            </w:r>
            <w:r>
              <w:t xml:space="preserve"> social workers, including establishing specialty areas</w:t>
            </w:r>
            <w:r>
              <w:t>.</w:t>
            </w:r>
            <w:r>
              <w:t xml:space="preserve"> </w:t>
            </w:r>
            <w:r>
              <w:t xml:space="preserve">The bill </w:t>
            </w:r>
            <w:r>
              <w:t>revises statutory provisions relating to</w:t>
            </w:r>
            <w:r>
              <w:t xml:space="preserve"> the</w:t>
            </w:r>
            <w:r>
              <w:t xml:space="preserve"> </w:t>
            </w:r>
            <w:r>
              <w:t xml:space="preserve">licensing and regulation of certain mental and behavior health </w:t>
            </w:r>
            <w:r>
              <w:lastRenderedPageBreak/>
              <w:t>occupations</w:t>
            </w:r>
            <w:r>
              <w:t>. The bill requires the Texas Council on Sex Offender Treatment, Texas State</w:t>
            </w:r>
            <w:r>
              <w:t xml:space="preserve"> Board of</w:t>
            </w:r>
            <w:r>
              <w:t xml:space="preserve"> Examiners of Psychologists</w:t>
            </w:r>
            <w:r>
              <w:t xml:space="preserve">, </w:t>
            </w:r>
            <w:r w:rsidRPr="00426756">
              <w:t>Texas State Board of Ex</w:t>
            </w:r>
            <w:r w:rsidRPr="00426756">
              <w:t>aminers of Marriage and Family Therapists</w:t>
            </w:r>
            <w:r>
              <w:t xml:space="preserve">, </w:t>
            </w:r>
            <w:r w:rsidRPr="00426756">
              <w:t>Texas State Board of Examiners of Professional Counselors</w:t>
            </w:r>
            <w:r>
              <w:t xml:space="preserve">, and </w:t>
            </w:r>
            <w:r w:rsidRPr="00987F14">
              <w:t>Texas State Board of Social Worker Examiners</w:t>
            </w:r>
            <w:r>
              <w:t xml:space="preserve"> to propose a schedule of sanctions for violations of applicable statutes or rules and </w:t>
            </w:r>
            <w:r>
              <w:t xml:space="preserve">to </w:t>
            </w:r>
            <w:r>
              <w:t>propose rules to</w:t>
            </w:r>
            <w:r>
              <w:t xml:space="preserve"> the executive council regarding the qualifications necessary to obtain a license, the scope of practice of and standards of care and ethical practice for the applicable profession, and continuing education requirements for license holders</w:t>
            </w:r>
            <w:r>
              <w:t xml:space="preserve">. </w:t>
            </w:r>
            <w:r>
              <w:t>The bill repeal</w:t>
            </w:r>
            <w:r>
              <w:t xml:space="preserve">s statutory provisions subjecting the Texas State Board of Examiners of Psychologists, </w:t>
            </w:r>
            <w:r w:rsidRPr="00426756">
              <w:t>Texas State Board of Examiners of Marriage and Family Therapists</w:t>
            </w:r>
            <w:r>
              <w:t xml:space="preserve">, </w:t>
            </w:r>
            <w:r w:rsidRPr="00426756">
              <w:t>Texas State Board of Examiners of Professional Counselors</w:t>
            </w:r>
            <w:r>
              <w:t xml:space="preserve">, and </w:t>
            </w:r>
            <w:r w:rsidRPr="00987F14">
              <w:t>Texas State Board of Social Worker Exami</w:t>
            </w:r>
            <w:r w:rsidRPr="00987F14">
              <w:t>ners</w:t>
            </w:r>
            <w:r>
              <w:t xml:space="preserve"> to the Texas Sunset Act. </w:t>
            </w:r>
            <w:r>
              <w:t>The bill provides for the enactment of the Psycholog</w:t>
            </w:r>
            <w:r>
              <w:t>y</w:t>
            </w:r>
            <w:r>
              <w:t xml:space="preserve"> </w:t>
            </w:r>
            <w:r>
              <w:t>Interjurisdictional Compact and sets out the provisions of the compact.</w:t>
            </w:r>
            <w:r>
              <w:t xml:space="preserve"> The bill requires the executive council to establish an advisory board to provide advice and recomme</w:t>
            </w:r>
            <w:r>
              <w:t>ndations to the executive council on technical matters relevant to the administration of statutory provisions governing the licensure of chemical dependency coun</w:t>
            </w:r>
            <w:r>
              <w:t>se</w:t>
            </w:r>
            <w:r>
              <w:t xml:space="preserve">lors and exempts the advisory board from state law </w:t>
            </w:r>
            <w:r>
              <w:t>governing</w:t>
            </w:r>
            <w:r>
              <w:t xml:space="preserve"> state agency advisory committees</w:t>
            </w:r>
            <w:r>
              <w:t xml:space="preserve">. </w:t>
            </w:r>
          </w:p>
          <w:p w:rsidR="00DD7108" w:rsidRDefault="00A9413A" w:rsidP="002F03C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DD7108" w:rsidRDefault="00A9413A" w:rsidP="002F03C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2898 amends the Code of Criminal Procedure, Government Code</w:t>
            </w:r>
            <w:r>
              <w:t xml:space="preserve">, </w:t>
            </w:r>
            <w:r>
              <w:t>Health and Safety Code, Human Resources Code,</w:t>
            </w:r>
            <w:r>
              <w:t xml:space="preserve"> </w:t>
            </w:r>
            <w:r>
              <w:t>Insurance Code</w:t>
            </w:r>
            <w:r>
              <w:t xml:space="preserve">, and </w:t>
            </w:r>
            <w:r>
              <w:t>Occupations Code</w:t>
            </w:r>
            <w:r>
              <w:t xml:space="preserve"> to make</w:t>
            </w:r>
            <w:r>
              <w:t xml:space="preserve"> changes to reflect </w:t>
            </w:r>
            <w:r>
              <w:t xml:space="preserve">the transfer </w:t>
            </w:r>
            <w:r>
              <w:t>of licensing and regulation of certain mental and behavior heal</w:t>
            </w:r>
            <w:r>
              <w:t xml:space="preserve">th occupations </w:t>
            </w:r>
            <w:r>
              <w:t xml:space="preserve">under the bill's provisions, including by revising the composition of certain committees or councils and the list of entities subject to certain requirements. </w:t>
            </w:r>
          </w:p>
          <w:p w:rsidR="00244BCE" w:rsidRDefault="00A9413A" w:rsidP="002F03C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244BCE" w:rsidRDefault="00A9413A" w:rsidP="002F03C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2898 establishes the applicability of training requirements under the bill'</w:t>
            </w:r>
            <w:r>
              <w:t xml:space="preserve">s provisions to </w:t>
            </w:r>
            <w:r>
              <w:t xml:space="preserve">applicable council or </w:t>
            </w:r>
            <w:r>
              <w:t>board members</w:t>
            </w:r>
            <w:r>
              <w:t xml:space="preserve"> appointed before on, or, after the bill's effective date</w:t>
            </w:r>
            <w:r>
              <w:t xml:space="preserve">, requires the appropriate appointing entities to appoint members of the executive </w:t>
            </w:r>
            <w:r>
              <w:t xml:space="preserve">council </w:t>
            </w:r>
            <w:r>
              <w:t>not later than December 1, 2017, and sets out requirement</w:t>
            </w:r>
            <w:r>
              <w:t xml:space="preserve">s for initial appointments. The bill establishes the </w:t>
            </w:r>
            <w:r w:rsidRPr="00244BCE">
              <w:t>Texas Behavioral Health Incubation Task Force to assist in the establishment of and transfer of regulatory programs to the executive council</w:t>
            </w:r>
            <w:r>
              <w:t xml:space="preserve"> and provides for the composition and duties of the task force.</w:t>
            </w:r>
            <w:r>
              <w:t xml:space="preserve"> The bill requires the executive council to hire an executive directo</w:t>
            </w:r>
            <w:r>
              <w:t xml:space="preserve">r not later than April 1, 2018, and to adopt procedural rules necessary to implement the bill's provisions </w:t>
            </w:r>
            <w:r>
              <w:t xml:space="preserve">relating to </w:t>
            </w:r>
            <w:r>
              <w:t xml:space="preserve">the </w:t>
            </w:r>
            <w:r>
              <w:t xml:space="preserve">executive </w:t>
            </w:r>
            <w:r>
              <w:t>council not later than July 31, 2018. The bill</w:t>
            </w:r>
            <w:r>
              <w:t xml:space="preserve"> sets ou</w:t>
            </w:r>
            <w:r>
              <w:t xml:space="preserve">t requirements for a transition plan to provide for the orderly transfer of </w:t>
            </w:r>
            <w:r w:rsidRPr="00244BCE">
              <w:t>powers, duties, functions, programs</w:t>
            </w:r>
            <w:r>
              <w:t xml:space="preserve">, including certain </w:t>
            </w:r>
            <w:r>
              <w:t>full-time equivalent</w:t>
            </w:r>
            <w:r>
              <w:t xml:space="preserve"> employee positions</w:t>
            </w:r>
            <w:r w:rsidRPr="00244BCE">
              <w:t>, and activities</w:t>
            </w:r>
            <w:r>
              <w:t xml:space="preserve"> under the bill's provisions.</w:t>
            </w:r>
          </w:p>
          <w:p w:rsidR="00774BEF" w:rsidRDefault="00A9413A" w:rsidP="002F03C5">
            <w:pPr>
              <w:pStyle w:val="Header"/>
              <w:jc w:val="both"/>
            </w:pPr>
          </w:p>
          <w:p w:rsidR="00774BEF" w:rsidRDefault="00A9413A" w:rsidP="002F03C5">
            <w:pPr>
              <w:pStyle w:val="Header"/>
              <w:jc w:val="both"/>
            </w:pPr>
            <w:r>
              <w:t>H.B. 2898 repeals the following</w:t>
            </w:r>
            <w:r>
              <w:t xml:space="preserve"> provisions of the Government Code:</w:t>
            </w:r>
          </w:p>
          <w:p w:rsidR="00774BEF" w:rsidRDefault="00A9413A" w:rsidP="002F03C5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Section 411.1105</w:t>
            </w:r>
          </w:p>
          <w:p w:rsidR="00774BEF" w:rsidRDefault="00A9413A" w:rsidP="002F03C5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Section 411.1388</w:t>
            </w:r>
          </w:p>
          <w:p w:rsidR="00774BEF" w:rsidRDefault="00A9413A" w:rsidP="002F03C5">
            <w:pPr>
              <w:pStyle w:val="Header"/>
              <w:jc w:val="both"/>
            </w:pPr>
          </w:p>
          <w:p w:rsidR="00774BEF" w:rsidRDefault="00A9413A" w:rsidP="002F03C5">
            <w:pPr>
              <w:pStyle w:val="Header"/>
              <w:jc w:val="both"/>
            </w:pPr>
            <w:r>
              <w:t>H.B. 2898 repeals the following provisions of the Occupations Code:</w:t>
            </w:r>
          </w:p>
          <w:p w:rsidR="00774BEF" w:rsidRDefault="00A9413A" w:rsidP="002F03C5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>
              <w:t>Section 110.001(3-a)</w:t>
            </w:r>
            <w:r>
              <w:t xml:space="preserve"> </w:t>
            </w:r>
          </w:p>
          <w:p w:rsidR="00774BEF" w:rsidRDefault="00A9413A" w:rsidP="002F03C5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>
              <w:t>Subchapter C, Chapter 110</w:t>
            </w:r>
            <w:r>
              <w:t xml:space="preserve"> </w:t>
            </w:r>
          </w:p>
          <w:p w:rsidR="00774BEF" w:rsidRDefault="00A9413A" w:rsidP="002F03C5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>
              <w:t>Section 110.157</w:t>
            </w:r>
            <w:r>
              <w:t xml:space="preserve"> </w:t>
            </w:r>
          </w:p>
          <w:p w:rsidR="00774BEF" w:rsidRDefault="00A9413A" w:rsidP="002F03C5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>
              <w:t>Section 110.159</w:t>
            </w:r>
            <w:r>
              <w:t xml:space="preserve"> </w:t>
            </w:r>
          </w:p>
          <w:p w:rsidR="00774BEF" w:rsidRDefault="00A9413A" w:rsidP="002F03C5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>
              <w:t>Subchapter F, Chapter 110</w:t>
            </w:r>
            <w:r>
              <w:t xml:space="preserve"> </w:t>
            </w:r>
          </w:p>
          <w:p w:rsidR="00774BEF" w:rsidRDefault="00A9413A" w:rsidP="002F03C5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>
              <w:t>Section</w:t>
            </w:r>
            <w:r>
              <w:t xml:space="preserve"> 110.307</w:t>
            </w:r>
            <w:r>
              <w:t xml:space="preserve"> </w:t>
            </w:r>
          </w:p>
          <w:p w:rsidR="00774BEF" w:rsidRDefault="00A9413A" w:rsidP="002F03C5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>
              <w:t>Section 110.308</w:t>
            </w:r>
            <w:r>
              <w:t xml:space="preserve"> </w:t>
            </w:r>
          </w:p>
          <w:p w:rsidR="00774BEF" w:rsidRDefault="00A9413A" w:rsidP="002F03C5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>
              <w:t>Section 110.352</w:t>
            </w:r>
            <w:r>
              <w:t xml:space="preserve"> </w:t>
            </w:r>
          </w:p>
          <w:p w:rsidR="00774BEF" w:rsidRDefault="00A9413A" w:rsidP="002F03C5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>
              <w:t>Section 110.353</w:t>
            </w:r>
            <w:r>
              <w:t xml:space="preserve"> </w:t>
            </w:r>
          </w:p>
          <w:p w:rsidR="00774BEF" w:rsidRDefault="00A9413A" w:rsidP="002F03C5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>
              <w:lastRenderedPageBreak/>
              <w:t>Section 110.354</w:t>
            </w:r>
            <w:r>
              <w:t xml:space="preserve"> </w:t>
            </w:r>
          </w:p>
          <w:p w:rsidR="00774BEF" w:rsidRDefault="00A9413A" w:rsidP="002F03C5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>
              <w:t>Subchapter J, Chapter 110</w:t>
            </w:r>
            <w:r>
              <w:t xml:space="preserve"> </w:t>
            </w:r>
          </w:p>
          <w:p w:rsidR="00774BEF" w:rsidRDefault="00A9413A" w:rsidP="002F03C5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>
              <w:t>Section 501.002(3)</w:t>
            </w:r>
            <w:r>
              <w:t xml:space="preserve"> </w:t>
            </w:r>
          </w:p>
          <w:p w:rsidR="00774BEF" w:rsidRDefault="00A9413A" w:rsidP="002F03C5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>
              <w:t>Section 501.005</w:t>
            </w:r>
            <w:r>
              <w:t xml:space="preserve"> </w:t>
            </w:r>
          </w:p>
          <w:p w:rsidR="00774BEF" w:rsidRDefault="00A9413A" w:rsidP="002F03C5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>
              <w:t>Subchapter C, Chapter 501</w:t>
            </w:r>
            <w:r>
              <w:t xml:space="preserve"> </w:t>
            </w:r>
          </w:p>
          <w:p w:rsidR="00774BEF" w:rsidRDefault="00A9413A" w:rsidP="002F03C5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>
              <w:t>Sections 501.151(a) and (b)</w:t>
            </w:r>
            <w:r>
              <w:t xml:space="preserve"> </w:t>
            </w:r>
          </w:p>
          <w:p w:rsidR="00774BEF" w:rsidRDefault="00A9413A" w:rsidP="002F03C5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>
              <w:t>Section 501.152</w:t>
            </w:r>
            <w:r>
              <w:t xml:space="preserve"> </w:t>
            </w:r>
          </w:p>
          <w:p w:rsidR="00774BEF" w:rsidRDefault="00A9413A" w:rsidP="002F03C5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>
              <w:t>Section 501.156</w:t>
            </w:r>
            <w:r>
              <w:t xml:space="preserve"> </w:t>
            </w:r>
          </w:p>
          <w:p w:rsidR="00774BEF" w:rsidRDefault="00A9413A" w:rsidP="002F03C5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>
              <w:t>Section 501.157</w:t>
            </w:r>
            <w:r>
              <w:t xml:space="preserve"> </w:t>
            </w:r>
          </w:p>
          <w:p w:rsidR="00774BEF" w:rsidRDefault="00A9413A" w:rsidP="002F03C5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>
              <w:t>Section</w:t>
            </w:r>
            <w:r>
              <w:t xml:space="preserve"> 501.160</w:t>
            </w:r>
            <w:r>
              <w:t xml:space="preserve"> </w:t>
            </w:r>
          </w:p>
          <w:p w:rsidR="00774BEF" w:rsidRDefault="00A9413A" w:rsidP="002F03C5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>
              <w:t>Section 501.161</w:t>
            </w:r>
            <w:r>
              <w:t xml:space="preserve"> </w:t>
            </w:r>
          </w:p>
          <w:p w:rsidR="00774BEF" w:rsidRDefault="00A9413A" w:rsidP="002F03C5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>
              <w:t>Section 501.162</w:t>
            </w:r>
            <w:r>
              <w:t xml:space="preserve"> </w:t>
            </w:r>
          </w:p>
          <w:p w:rsidR="00774BEF" w:rsidRDefault="00A9413A" w:rsidP="002F03C5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>
              <w:t>Subchapter E, Chapter 501</w:t>
            </w:r>
            <w:r>
              <w:t xml:space="preserve"> </w:t>
            </w:r>
          </w:p>
          <w:p w:rsidR="00774BEF" w:rsidRDefault="00A9413A" w:rsidP="002F03C5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>
              <w:t>Sections 501.252(b), (c), and (d)</w:t>
            </w:r>
            <w:r>
              <w:t xml:space="preserve"> </w:t>
            </w:r>
          </w:p>
          <w:p w:rsidR="00774BEF" w:rsidRDefault="00A9413A" w:rsidP="002F03C5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>
              <w:t>Section 501.254</w:t>
            </w:r>
            <w:r>
              <w:t xml:space="preserve"> </w:t>
            </w:r>
          </w:p>
          <w:p w:rsidR="00774BEF" w:rsidRDefault="00A9413A" w:rsidP="002F03C5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>
              <w:t>Sections 501.256(e), (f), and (g)</w:t>
            </w:r>
            <w:r>
              <w:t xml:space="preserve"> </w:t>
            </w:r>
          </w:p>
          <w:p w:rsidR="00774BEF" w:rsidRDefault="00A9413A" w:rsidP="002F03C5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>
              <w:t>Section 501.2561</w:t>
            </w:r>
            <w:r>
              <w:t xml:space="preserve"> </w:t>
            </w:r>
          </w:p>
          <w:p w:rsidR="00774BEF" w:rsidRDefault="00A9413A" w:rsidP="002F03C5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>
              <w:t>Section 501.257</w:t>
            </w:r>
            <w:r>
              <w:t xml:space="preserve"> </w:t>
            </w:r>
          </w:p>
          <w:p w:rsidR="00774BEF" w:rsidRDefault="00A9413A" w:rsidP="002F03C5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>
              <w:t>Section 501.258</w:t>
            </w:r>
            <w:r>
              <w:t xml:space="preserve"> </w:t>
            </w:r>
          </w:p>
          <w:p w:rsidR="00774BEF" w:rsidRDefault="00A9413A" w:rsidP="002F03C5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>
              <w:t>Section 501.261(b)</w:t>
            </w:r>
            <w:r>
              <w:t xml:space="preserve"> </w:t>
            </w:r>
          </w:p>
          <w:p w:rsidR="00774BEF" w:rsidRDefault="00A9413A" w:rsidP="002F03C5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>
              <w:t>Section 501.302</w:t>
            </w:r>
            <w:r>
              <w:t xml:space="preserve"> </w:t>
            </w:r>
          </w:p>
          <w:p w:rsidR="00774BEF" w:rsidRDefault="00A9413A" w:rsidP="002F03C5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>
              <w:t xml:space="preserve">Section </w:t>
            </w:r>
            <w:r>
              <w:t>501.303</w:t>
            </w:r>
            <w:r>
              <w:t xml:space="preserve"> </w:t>
            </w:r>
          </w:p>
          <w:p w:rsidR="00774BEF" w:rsidRDefault="00A9413A" w:rsidP="002F03C5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>
              <w:t>Section 501.304</w:t>
            </w:r>
            <w:r>
              <w:t xml:space="preserve"> </w:t>
            </w:r>
          </w:p>
          <w:p w:rsidR="00774BEF" w:rsidRDefault="00A9413A" w:rsidP="002F03C5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>
              <w:t>Section 501.402</w:t>
            </w:r>
            <w:r>
              <w:t xml:space="preserve"> </w:t>
            </w:r>
          </w:p>
          <w:p w:rsidR="00774BEF" w:rsidRDefault="00A9413A" w:rsidP="002F03C5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>
              <w:t>Section 501.403</w:t>
            </w:r>
            <w:r>
              <w:t xml:space="preserve"> </w:t>
            </w:r>
          </w:p>
          <w:p w:rsidR="00774BEF" w:rsidRDefault="00A9413A" w:rsidP="002F03C5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>
              <w:t>Section 501.404</w:t>
            </w:r>
            <w:r>
              <w:t xml:space="preserve"> </w:t>
            </w:r>
          </w:p>
          <w:p w:rsidR="00774BEF" w:rsidRDefault="00A9413A" w:rsidP="002F03C5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>
              <w:t>Section 501.405</w:t>
            </w:r>
            <w:r>
              <w:t xml:space="preserve"> </w:t>
            </w:r>
          </w:p>
          <w:p w:rsidR="00774BEF" w:rsidRDefault="00A9413A" w:rsidP="002F03C5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>
              <w:t>Section 501.406</w:t>
            </w:r>
            <w:r>
              <w:t xml:space="preserve"> </w:t>
            </w:r>
          </w:p>
          <w:p w:rsidR="00774BEF" w:rsidRDefault="00A9413A" w:rsidP="002F03C5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>
              <w:t>Section 501.409</w:t>
            </w:r>
            <w:r>
              <w:t xml:space="preserve"> </w:t>
            </w:r>
          </w:p>
          <w:p w:rsidR="00774BEF" w:rsidRDefault="00A9413A" w:rsidP="002F03C5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>
              <w:t>Section 501.410</w:t>
            </w:r>
            <w:r>
              <w:t xml:space="preserve"> </w:t>
            </w:r>
          </w:p>
          <w:p w:rsidR="00774BEF" w:rsidRDefault="00A9413A" w:rsidP="002F03C5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>
              <w:t>Subchapter J, Chapter 501</w:t>
            </w:r>
            <w:r>
              <w:t xml:space="preserve"> </w:t>
            </w:r>
          </w:p>
          <w:p w:rsidR="00DD7108" w:rsidRDefault="00A9413A" w:rsidP="002F03C5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>
              <w:t xml:space="preserve">Section 501.501 </w:t>
            </w:r>
          </w:p>
          <w:p w:rsidR="00DD7108" w:rsidRDefault="00A9413A" w:rsidP="002F03C5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>
              <w:t xml:space="preserve">Section 501.502 </w:t>
            </w:r>
          </w:p>
          <w:p w:rsidR="00DD7108" w:rsidRDefault="00A9413A" w:rsidP="002F03C5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>
              <w:t xml:space="preserve">Section 501.504 </w:t>
            </w:r>
          </w:p>
          <w:p w:rsidR="00DD7108" w:rsidRDefault="00A9413A" w:rsidP="002F03C5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>
              <w:t xml:space="preserve">Section 502.002(3) </w:t>
            </w:r>
          </w:p>
          <w:p w:rsidR="00DD7108" w:rsidRDefault="00A9413A" w:rsidP="002F03C5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>
              <w:t>Section 502.0</w:t>
            </w:r>
            <w:r>
              <w:t xml:space="preserve">03 </w:t>
            </w:r>
          </w:p>
          <w:p w:rsidR="00DD7108" w:rsidRDefault="00A9413A" w:rsidP="002F03C5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>
              <w:t xml:space="preserve">Subchapter C, Chapter 502 </w:t>
            </w:r>
          </w:p>
          <w:p w:rsidR="00DD7108" w:rsidRDefault="00A9413A" w:rsidP="002F03C5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>
              <w:t xml:space="preserve">Section 502.152 </w:t>
            </w:r>
          </w:p>
          <w:p w:rsidR="00DD7108" w:rsidRDefault="00A9413A" w:rsidP="002F03C5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>
              <w:t xml:space="preserve">Section 502.153 </w:t>
            </w:r>
          </w:p>
          <w:p w:rsidR="00DD7108" w:rsidRDefault="00A9413A" w:rsidP="002F03C5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>
              <w:t xml:space="preserve">Section 502.154 </w:t>
            </w:r>
          </w:p>
          <w:p w:rsidR="00DD7108" w:rsidRDefault="00A9413A" w:rsidP="002F03C5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>
              <w:t xml:space="preserve">Section 502.156 </w:t>
            </w:r>
          </w:p>
          <w:p w:rsidR="00DD7108" w:rsidRDefault="00A9413A" w:rsidP="002F03C5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>
              <w:t xml:space="preserve">Section 502.1565 </w:t>
            </w:r>
          </w:p>
          <w:p w:rsidR="00DD7108" w:rsidRDefault="00A9413A" w:rsidP="002F03C5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>
              <w:t xml:space="preserve">Section 502.158 </w:t>
            </w:r>
          </w:p>
          <w:p w:rsidR="00DD7108" w:rsidRDefault="00A9413A" w:rsidP="002F03C5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>
              <w:t xml:space="preserve">Section 502.161 </w:t>
            </w:r>
          </w:p>
          <w:p w:rsidR="00DD7108" w:rsidRDefault="00A9413A" w:rsidP="002F03C5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>
              <w:t xml:space="preserve">Section 502.162 </w:t>
            </w:r>
          </w:p>
          <w:p w:rsidR="00DD7108" w:rsidRDefault="00A9413A" w:rsidP="002F03C5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>
              <w:t xml:space="preserve">Section 502.163 </w:t>
            </w:r>
          </w:p>
          <w:p w:rsidR="00DD7108" w:rsidRDefault="00A9413A" w:rsidP="002F03C5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>
              <w:t xml:space="preserve">Subchapter E, Chapter 502 </w:t>
            </w:r>
          </w:p>
          <w:p w:rsidR="00DD7108" w:rsidRDefault="00A9413A" w:rsidP="002F03C5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>
              <w:t xml:space="preserve">Section 502.255 </w:t>
            </w:r>
          </w:p>
          <w:p w:rsidR="00DD7108" w:rsidRDefault="00A9413A" w:rsidP="002F03C5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>
              <w:t xml:space="preserve">Section 502.256 </w:t>
            </w:r>
          </w:p>
          <w:p w:rsidR="00DD7108" w:rsidRDefault="00A9413A" w:rsidP="002F03C5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>
              <w:t xml:space="preserve">Sections </w:t>
            </w:r>
            <w:r>
              <w:t xml:space="preserve">502.301(b), (c), (d), and (e) </w:t>
            </w:r>
          </w:p>
          <w:p w:rsidR="00DD7108" w:rsidRDefault="00A9413A" w:rsidP="002F03C5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>
              <w:t xml:space="preserve">Section 502.302 </w:t>
            </w:r>
          </w:p>
          <w:p w:rsidR="00DD7108" w:rsidRDefault="00A9413A" w:rsidP="002F03C5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>
              <w:t xml:space="preserve">Section 502.303 </w:t>
            </w:r>
          </w:p>
          <w:p w:rsidR="00DD7108" w:rsidRDefault="00A9413A" w:rsidP="002F03C5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>
              <w:t xml:space="preserve">Section 502.352 </w:t>
            </w:r>
          </w:p>
          <w:p w:rsidR="00DD7108" w:rsidRDefault="00A9413A" w:rsidP="002F03C5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>
              <w:t xml:space="preserve">Section 502.353 </w:t>
            </w:r>
          </w:p>
          <w:p w:rsidR="00DD7108" w:rsidRDefault="00A9413A" w:rsidP="002F03C5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>
              <w:t xml:space="preserve">Section 502.354 </w:t>
            </w:r>
          </w:p>
          <w:p w:rsidR="00DD7108" w:rsidRDefault="00A9413A" w:rsidP="002F03C5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>
              <w:t xml:space="preserve">Section 502.355 </w:t>
            </w:r>
          </w:p>
          <w:p w:rsidR="00DD7108" w:rsidRDefault="00A9413A" w:rsidP="002F03C5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>
              <w:t xml:space="preserve">Section 502.356 </w:t>
            </w:r>
          </w:p>
          <w:p w:rsidR="00DD7108" w:rsidRDefault="00A9413A" w:rsidP="002F03C5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>
              <w:t xml:space="preserve">Subchapter I, Chapter 502 </w:t>
            </w:r>
          </w:p>
          <w:p w:rsidR="00DD7108" w:rsidRDefault="00A9413A" w:rsidP="002F03C5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>
              <w:t xml:space="preserve">Section 502.451 </w:t>
            </w:r>
          </w:p>
          <w:p w:rsidR="00DD7108" w:rsidRDefault="00A9413A" w:rsidP="002F03C5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>
              <w:t xml:space="preserve">Section 502.452 </w:t>
            </w:r>
          </w:p>
          <w:p w:rsidR="00DD7108" w:rsidRDefault="00A9413A" w:rsidP="002F03C5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>
              <w:t xml:space="preserve">Section 502.453 </w:t>
            </w:r>
          </w:p>
          <w:p w:rsidR="00DD7108" w:rsidRDefault="00A9413A" w:rsidP="002F03C5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>
              <w:t xml:space="preserve">Section 502.455 </w:t>
            </w:r>
          </w:p>
          <w:p w:rsidR="00DD7108" w:rsidRDefault="00A9413A" w:rsidP="002F03C5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>
              <w:t>Section 503</w:t>
            </w:r>
            <w:r>
              <w:t xml:space="preserve">.005 </w:t>
            </w:r>
          </w:p>
          <w:p w:rsidR="00DD7108" w:rsidRDefault="00A9413A" w:rsidP="002F03C5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>
              <w:t xml:space="preserve">Subchapter D, Chapter 503 </w:t>
            </w:r>
          </w:p>
          <w:p w:rsidR="00DD7108" w:rsidRDefault="00A9413A" w:rsidP="002F03C5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>
              <w:t xml:space="preserve">Section 503.202 </w:t>
            </w:r>
          </w:p>
          <w:p w:rsidR="00DD7108" w:rsidRDefault="00A9413A" w:rsidP="002F03C5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>
              <w:t xml:space="preserve">Section 503.203 </w:t>
            </w:r>
          </w:p>
          <w:p w:rsidR="00DD7108" w:rsidRDefault="00A9413A" w:rsidP="002F03C5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>
              <w:t xml:space="preserve">Section 503.204 </w:t>
            </w:r>
          </w:p>
          <w:p w:rsidR="00DD7108" w:rsidRDefault="00A9413A" w:rsidP="002F03C5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>
              <w:t xml:space="preserve">Section 503.2045 </w:t>
            </w:r>
          </w:p>
          <w:p w:rsidR="00DD7108" w:rsidRDefault="00A9413A" w:rsidP="002F03C5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>
              <w:t xml:space="preserve">Section 503.205 </w:t>
            </w:r>
          </w:p>
          <w:p w:rsidR="00DD7108" w:rsidRDefault="00A9413A" w:rsidP="002F03C5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>
              <w:t xml:space="preserve">Section 503.209 </w:t>
            </w:r>
          </w:p>
          <w:p w:rsidR="00DD7108" w:rsidRDefault="00A9413A" w:rsidP="002F03C5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>
              <w:t xml:space="preserve">Section 503.210 </w:t>
            </w:r>
          </w:p>
          <w:p w:rsidR="00DD7108" w:rsidRDefault="00A9413A" w:rsidP="002F03C5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>
              <w:t xml:space="preserve">Section 503.211 </w:t>
            </w:r>
          </w:p>
          <w:p w:rsidR="00DD7108" w:rsidRDefault="00A9413A" w:rsidP="002F03C5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>
              <w:t xml:space="preserve">Subchapter F, Chapter 503 </w:t>
            </w:r>
          </w:p>
          <w:p w:rsidR="00DD7108" w:rsidRDefault="00A9413A" w:rsidP="002F03C5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>
              <w:t xml:space="preserve">Section 503.306 </w:t>
            </w:r>
          </w:p>
          <w:p w:rsidR="00DD7108" w:rsidRDefault="00A9413A" w:rsidP="002F03C5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>
              <w:t xml:space="preserve">Section 503.307 </w:t>
            </w:r>
          </w:p>
          <w:p w:rsidR="00DD7108" w:rsidRDefault="00A9413A" w:rsidP="002F03C5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>
              <w:t xml:space="preserve">Section 503.354 </w:t>
            </w:r>
          </w:p>
          <w:p w:rsidR="00DD7108" w:rsidRDefault="00A9413A" w:rsidP="002F03C5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>
              <w:t xml:space="preserve">Section </w:t>
            </w:r>
            <w:r>
              <w:t xml:space="preserve">503.355 </w:t>
            </w:r>
          </w:p>
          <w:p w:rsidR="00DD7108" w:rsidRDefault="00A9413A" w:rsidP="002F03C5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>
              <w:t xml:space="preserve">Section 503.356 </w:t>
            </w:r>
          </w:p>
          <w:p w:rsidR="00DD7108" w:rsidRDefault="00A9413A" w:rsidP="002F03C5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>
              <w:t xml:space="preserve">Sections 503.401(b), (c), and (d) </w:t>
            </w:r>
          </w:p>
          <w:p w:rsidR="00DD7108" w:rsidRDefault="00A9413A" w:rsidP="002F03C5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>
              <w:t xml:space="preserve">Section 503.402 </w:t>
            </w:r>
          </w:p>
          <w:p w:rsidR="00DD7108" w:rsidRDefault="00A9413A" w:rsidP="002F03C5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>
              <w:t xml:space="preserve">Section 503.403 </w:t>
            </w:r>
          </w:p>
          <w:p w:rsidR="00DD7108" w:rsidRDefault="00A9413A" w:rsidP="002F03C5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>
              <w:t xml:space="preserve">Section 503.404 </w:t>
            </w:r>
          </w:p>
          <w:p w:rsidR="00DD7108" w:rsidRDefault="00A9413A" w:rsidP="002F03C5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>
              <w:t xml:space="preserve">Section 503.405 </w:t>
            </w:r>
          </w:p>
          <w:p w:rsidR="00DD7108" w:rsidRDefault="00A9413A" w:rsidP="002F03C5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>
              <w:t xml:space="preserve">Section 503.406 </w:t>
            </w:r>
          </w:p>
          <w:p w:rsidR="00DD7108" w:rsidRDefault="00A9413A" w:rsidP="002F03C5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>
              <w:t xml:space="preserve">Section 503.451 </w:t>
            </w:r>
          </w:p>
          <w:p w:rsidR="00DD7108" w:rsidRDefault="00A9413A" w:rsidP="002F03C5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>
              <w:t xml:space="preserve">Section 503.454 </w:t>
            </w:r>
          </w:p>
          <w:p w:rsidR="00DD7108" w:rsidRDefault="00A9413A" w:rsidP="002F03C5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>
              <w:t xml:space="preserve">Subchapter K, Chapter 503 </w:t>
            </w:r>
          </w:p>
          <w:p w:rsidR="00DD7108" w:rsidRDefault="00A9413A" w:rsidP="002F03C5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>
              <w:t xml:space="preserve">Sections 504.001(5) and (7) </w:t>
            </w:r>
          </w:p>
          <w:p w:rsidR="00DD7108" w:rsidRDefault="00A9413A" w:rsidP="002F03C5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>
              <w:t xml:space="preserve">Section 504.0515 </w:t>
            </w:r>
          </w:p>
          <w:p w:rsidR="00DD7108" w:rsidRDefault="00A9413A" w:rsidP="002F03C5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>
              <w:t>Se</w:t>
            </w:r>
            <w:r>
              <w:t xml:space="preserve">ction 504.053 </w:t>
            </w:r>
          </w:p>
          <w:p w:rsidR="00DD7108" w:rsidRDefault="00A9413A" w:rsidP="002F03C5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>
              <w:t xml:space="preserve">Section 504.054 </w:t>
            </w:r>
          </w:p>
          <w:p w:rsidR="00DD7108" w:rsidRDefault="00A9413A" w:rsidP="002F03C5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>
              <w:t xml:space="preserve">Section 504.056 </w:t>
            </w:r>
          </w:p>
          <w:p w:rsidR="00DD7108" w:rsidRDefault="00A9413A" w:rsidP="002F03C5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>
              <w:t xml:space="preserve">Subchapter C, Chapter 504 </w:t>
            </w:r>
          </w:p>
          <w:p w:rsidR="00DD7108" w:rsidRDefault="00A9413A" w:rsidP="002F03C5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>
              <w:t xml:space="preserve">Section 504.157 </w:t>
            </w:r>
          </w:p>
          <w:p w:rsidR="00DD7108" w:rsidRDefault="00A9413A" w:rsidP="002F03C5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>
              <w:t xml:space="preserve">Section 504.161 </w:t>
            </w:r>
          </w:p>
          <w:p w:rsidR="00DD7108" w:rsidRDefault="00A9413A" w:rsidP="002F03C5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>
              <w:t xml:space="preserve">Section 504.203 </w:t>
            </w:r>
          </w:p>
          <w:p w:rsidR="00DD7108" w:rsidRDefault="00A9413A" w:rsidP="002F03C5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>
              <w:t xml:space="preserve">Section 504.204 </w:t>
            </w:r>
          </w:p>
          <w:p w:rsidR="00DD7108" w:rsidRDefault="00A9413A" w:rsidP="002F03C5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>
              <w:t xml:space="preserve">Section 504.205(a) </w:t>
            </w:r>
          </w:p>
          <w:p w:rsidR="00DD7108" w:rsidRDefault="00A9413A" w:rsidP="002F03C5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>
              <w:t>Section 504.252</w:t>
            </w:r>
          </w:p>
          <w:p w:rsidR="00DD7108" w:rsidRDefault="00A9413A" w:rsidP="002F03C5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>
              <w:t xml:space="preserve">Sections 504.2525(b) and (c) </w:t>
            </w:r>
          </w:p>
          <w:p w:rsidR="00DD7108" w:rsidRDefault="00A9413A" w:rsidP="002F03C5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>
              <w:t xml:space="preserve">Section 504.253 </w:t>
            </w:r>
          </w:p>
          <w:p w:rsidR="00DD7108" w:rsidRDefault="00A9413A" w:rsidP="002F03C5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>
              <w:t xml:space="preserve">Section 504.254 </w:t>
            </w:r>
          </w:p>
          <w:p w:rsidR="00DD7108" w:rsidRDefault="00A9413A" w:rsidP="002F03C5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>
              <w:t xml:space="preserve">Subchapter </w:t>
            </w:r>
            <w:r>
              <w:t xml:space="preserve">G, Chapter 504 </w:t>
            </w:r>
          </w:p>
          <w:p w:rsidR="00DD7108" w:rsidRDefault="00A9413A" w:rsidP="002F03C5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>
              <w:t xml:space="preserve">Subchapter H, Chapter 504 </w:t>
            </w:r>
          </w:p>
          <w:p w:rsidR="00DD7108" w:rsidRDefault="00A9413A" w:rsidP="002F03C5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>
              <w:t xml:space="preserve">Section 505.005 </w:t>
            </w:r>
          </w:p>
          <w:p w:rsidR="00DD7108" w:rsidRDefault="00A9413A" w:rsidP="002F03C5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>
              <w:t xml:space="preserve">Section 505.110 </w:t>
            </w:r>
          </w:p>
          <w:p w:rsidR="00DD7108" w:rsidRDefault="00A9413A" w:rsidP="002F03C5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>
              <w:t xml:space="preserve">Subchapter C, Chapter 505 </w:t>
            </w:r>
          </w:p>
          <w:p w:rsidR="00DD7108" w:rsidRDefault="00A9413A" w:rsidP="002F03C5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>
              <w:t xml:space="preserve">Section 505.202 </w:t>
            </w:r>
          </w:p>
          <w:p w:rsidR="00DD7108" w:rsidRDefault="00A9413A" w:rsidP="002F03C5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>
              <w:t xml:space="preserve">Section 505.203 </w:t>
            </w:r>
          </w:p>
          <w:p w:rsidR="00DD7108" w:rsidRDefault="00A9413A" w:rsidP="002F03C5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>
              <w:t xml:space="preserve">Section 505.204 </w:t>
            </w:r>
          </w:p>
          <w:p w:rsidR="00DD7108" w:rsidRDefault="00A9413A" w:rsidP="002F03C5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>
              <w:t xml:space="preserve">Section 505.209 </w:t>
            </w:r>
          </w:p>
          <w:p w:rsidR="00DD7108" w:rsidRDefault="00A9413A" w:rsidP="002F03C5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>
              <w:t xml:space="preserve">Section 505.210 </w:t>
            </w:r>
          </w:p>
          <w:p w:rsidR="00DD7108" w:rsidRDefault="00A9413A" w:rsidP="002F03C5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>
              <w:t xml:space="preserve">Section 505.211 </w:t>
            </w:r>
          </w:p>
          <w:p w:rsidR="00DD7108" w:rsidRDefault="00A9413A" w:rsidP="002F03C5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>
              <w:t xml:space="preserve">Subchapter E, Chapter 505 </w:t>
            </w:r>
          </w:p>
          <w:p w:rsidR="00DD7108" w:rsidRDefault="00A9413A" w:rsidP="002F03C5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>
              <w:t xml:space="preserve">Section 505.355 </w:t>
            </w:r>
          </w:p>
          <w:p w:rsidR="00DD7108" w:rsidRDefault="00A9413A" w:rsidP="002F03C5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>
              <w:t xml:space="preserve">Section 505.356 </w:t>
            </w:r>
          </w:p>
          <w:p w:rsidR="00DD7108" w:rsidRDefault="00A9413A" w:rsidP="002F03C5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>
              <w:t xml:space="preserve">Section 505.402 </w:t>
            </w:r>
          </w:p>
          <w:p w:rsidR="00DD7108" w:rsidRDefault="00A9413A" w:rsidP="002F03C5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>
              <w:t xml:space="preserve">Section 505.403 </w:t>
            </w:r>
          </w:p>
          <w:p w:rsidR="00DD7108" w:rsidRDefault="00A9413A" w:rsidP="002F03C5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>
              <w:t xml:space="preserve">Section 505.404 </w:t>
            </w:r>
          </w:p>
          <w:p w:rsidR="00DD7108" w:rsidRDefault="00A9413A" w:rsidP="002F03C5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>
              <w:t xml:space="preserve">Section 505.452 </w:t>
            </w:r>
          </w:p>
          <w:p w:rsidR="00DD7108" w:rsidRDefault="00A9413A" w:rsidP="002F03C5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>
              <w:t xml:space="preserve">Section 505.453 </w:t>
            </w:r>
          </w:p>
          <w:p w:rsidR="00DD7108" w:rsidRDefault="00A9413A" w:rsidP="002F03C5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>
              <w:t xml:space="preserve">Section 505.454(b) </w:t>
            </w:r>
          </w:p>
          <w:p w:rsidR="00DD7108" w:rsidRDefault="00A9413A" w:rsidP="002F03C5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>
              <w:t xml:space="preserve">Section 505.455 </w:t>
            </w:r>
          </w:p>
          <w:p w:rsidR="00DD7108" w:rsidRDefault="00A9413A" w:rsidP="002F03C5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>
              <w:t xml:space="preserve">Section 505.456 </w:t>
            </w:r>
          </w:p>
          <w:p w:rsidR="00DD7108" w:rsidRDefault="00A9413A" w:rsidP="002F03C5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>
              <w:t xml:space="preserve">Section 505.457 </w:t>
            </w:r>
          </w:p>
          <w:p w:rsidR="00DD7108" w:rsidRDefault="00A9413A" w:rsidP="002F03C5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>
              <w:t xml:space="preserve">Section 505.501 </w:t>
            </w:r>
          </w:p>
          <w:p w:rsidR="00DD7108" w:rsidRDefault="00A9413A" w:rsidP="002F03C5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>
              <w:t xml:space="preserve">Section 505.503 </w:t>
            </w:r>
          </w:p>
          <w:p w:rsidR="00DD7108" w:rsidRDefault="00A9413A" w:rsidP="002F03C5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>
              <w:t xml:space="preserve">Section 505.504 </w:t>
            </w:r>
          </w:p>
          <w:p w:rsidR="00DD7108" w:rsidRDefault="00A9413A" w:rsidP="002F03C5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>
              <w:t xml:space="preserve">Section 505.508  </w:t>
            </w:r>
          </w:p>
          <w:p w:rsidR="00774BEF" w:rsidRDefault="00A9413A" w:rsidP="002F03C5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>
              <w:t xml:space="preserve">Subchapter K, </w:t>
            </w:r>
            <w:r>
              <w:t>Chapter 505</w:t>
            </w:r>
          </w:p>
          <w:p w:rsidR="008423E4" w:rsidRPr="00835628" w:rsidRDefault="00A9413A" w:rsidP="002F03C5">
            <w:pPr>
              <w:rPr>
                <w:b/>
              </w:rPr>
            </w:pPr>
          </w:p>
        </w:tc>
      </w:tr>
      <w:tr w:rsidR="004F60F1" w:rsidTr="00345119">
        <w:tc>
          <w:tcPr>
            <w:tcW w:w="9576" w:type="dxa"/>
          </w:tcPr>
          <w:p w:rsidR="008423E4" w:rsidRPr="00A8133F" w:rsidRDefault="00A9413A" w:rsidP="002F03C5">
            <w:pPr>
              <w:rPr>
                <w:b/>
              </w:rPr>
            </w:pPr>
            <w:r w:rsidRPr="009C1E9A">
              <w:rPr>
                <w:b/>
                <w:u w:val="single"/>
              </w:rPr>
              <w:lastRenderedPageBreak/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A9413A" w:rsidP="002F03C5"/>
          <w:p w:rsidR="008423E4" w:rsidRPr="003624F2" w:rsidRDefault="00A9413A" w:rsidP="002F03C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  <w:r>
              <w:t xml:space="preserve"> </w:t>
            </w:r>
          </w:p>
          <w:p w:rsidR="008423E4" w:rsidRPr="00233FDB" w:rsidRDefault="00A9413A" w:rsidP="002F03C5">
            <w:pPr>
              <w:rPr>
                <w:b/>
              </w:rPr>
            </w:pPr>
          </w:p>
        </w:tc>
      </w:tr>
    </w:tbl>
    <w:p w:rsidR="008423E4" w:rsidRPr="00BE0E75" w:rsidRDefault="00A9413A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A9413A" w:rsidP="008423E4"/>
    <w:sectPr w:rsidR="004108C3" w:rsidRPr="008423E4" w:rsidSect="006D50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9413A">
      <w:r>
        <w:separator/>
      </w:r>
    </w:p>
  </w:endnote>
  <w:endnote w:type="continuationSeparator" w:id="0">
    <w:p w:rsidR="00000000" w:rsidRDefault="00A94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19B" w:rsidRDefault="00A9413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4F60F1" w:rsidTr="009C1E9A">
      <w:trPr>
        <w:cantSplit/>
      </w:trPr>
      <w:tc>
        <w:tcPr>
          <w:tcW w:w="0" w:type="pct"/>
        </w:tcPr>
        <w:p w:rsidR="00137D90" w:rsidRDefault="00A9413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A9413A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A9413A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A9413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A9413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F60F1" w:rsidTr="009C1E9A">
      <w:trPr>
        <w:cantSplit/>
      </w:trPr>
      <w:tc>
        <w:tcPr>
          <w:tcW w:w="0" w:type="pct"/>
        </w:tcPr>
        <w:p w:rsidR="00EC379B" w:rsidRDefault="00A9413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A9413A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26215</w:t>
          </w:r>
        </w:p>
      </w:tc>
      <w:tc>
        <w:tcPr>
          <w:tcW w:w="2453" w:type="pct"/>
        </w:tcPr>
        <w:p w:rsidR="00EC379B" w:rsidRDefault="00A9413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17.115.125</w:t>
          </w:r>
          <w:r>
            <w:fldChar w:fldCharType="end"/>
          </w:r>
        </w:p>
      </w:tc>
    </w:tr>
    <w:tr w:rsidR="004F60F1" w:rsidTr="009C1E9A">
      <w:trPr>
        <w:cantSplit/>
      </w:trPr>
      <w:tc>
        <w:tcPr>
          <w:tcW w:w="0" w:type="pct"/>
        </w:tcPr>
        <w:p w:rsidR="00EC379B" w:rsidRDefault="00A9413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A9413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A9413A" w:rsidP="006D504F">
          <w:pPr>
            <w:pStyle w:val="Footer"/>
            <w:rPr>
              <w:rStyle w:val="PageNumber"/>
            </w:rPr>
          </w:pPr>
        </w:p>
        <w:p w:rsidR="00EC379B" w:rsidRDefault="00A9413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F60F1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A9413A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A9413A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A9413A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19B" w:rsidRDefault="00A941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9413A">
      <w:r>
        <w:separator/>
      </w:r>
    </w:p>
  </w:footnote>
  <w:footnote w:type="continuationSeparator" w:id="0">
    <w:p w:rsidR="00000000" w:rsidRDefault="00A941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19B" w:rsidRDefault="00A941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19B" w:rsidRDefault="00A9413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19B" w:rsidRDefault="00A9413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F3D8F"/>
    <w:multiLevelType w:val="hybridMultilevel"/>
    <w:tmpl w:val="963E4266"/>
    <w:lvl w:ilvl="0" w:tplc="DDD606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CE4F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1B012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0E88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62FF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E4489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8C8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9E05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188BB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41510E"/>
    <w:multiLevelType w:val="hybridMultilevel"/>
    <w:tmpl w:val="76BA62AC"/>
    <w:lvl w:ilvl="0" w:tplc="8D14D8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1ED3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F888D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70AF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DEAD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1ADB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A449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08A9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54AF21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0F1"/>
    <w:rsid w:val="004F60F1"/>
    <w:rsid w:val="00A9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0C2BF7"/>
    <w:rPr>
      <w:sz w:val="16"/>
      <w:szCs w:val="16"/>
    </w:rPr>
  </w:style>
  <w:style w:type="paragraph" w:styleId="CommentText">
    <w:name w:val="annotation text"/>
    <w:basedOn w:val="Normal"/>
    <w:link w:val="CommentTextChar"/>
    <w:rsid w:val="000C2B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C2BF7"/>
  </w:style>
  <w:style w:type="paragraph" w:styleId="CommentSubject">
    <w:name w:val="annotation subject"/>
    <w:basedOn w:val="CommentText"/>
    <w:next w:val="CommentText"/>
    <w:link w:val="CommentSubjectChar"/>
    <w:rsid w:val="000C2B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C2BF7"/>
    <w:rPr>
      <w:b/>
      <w:bCs/>
    </w:rPr>
  </w:style>
  <w:style w:type="character" w:styleId="Hyperlink">
    <w:name w:val="Hyperlink"/>
    <w:basedOn w:val="DefaultParagraphFont"/>
    <w:rsid w:val="000C2BF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4748A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0C2BF7"/>
    <w:rPr>
      <w:sz w:val="16"/>
      <w:szCs w:val="16"/>
    </w:rPr>
  </w:style>
  <w:style w:type="paragraph" w:styleId="CommentText">
    <w:name w:val="annotation text"/>
    <w:basedOn w:val="Normal"/>
    <w:link w:val="CommentTextChar"/>
    <w:rsid w:val="000C2B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C2BF7"/>
  </w:style>
  <w:style w:type="paragraph" w:styleId="CommentSubject">
    <w:name w:val="annotation subject"/>
    <w:basedOn w:val="CommentText"/>
    <w:next w:val="CommentText"/>
    <w:link w:val="CommentSubjectChar"/>
    <w:rsid w:val="000C2B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C2BF7"/>
    <w:rPr>
      <w:b/>
      <w:bCs/>
    </w:rPr>
  </w:style>
  <w:style w:type="character" w:styleId="Hyperlink">
    <w:name w:val="Hyperlink"/>
    <w:basedOn w:val="DefaultParagraphFont"/>
    <w:rsid w:val="000C2BF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4748A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1241</Words>
  <Characters>7675</Characters>
  <Application>Microsoft Office Word</Application>
  <DocSecurity>4</DocSecurity>
  <Lines>242</Lines>
  <Paragraphs>161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HB02898 (Committee Report (Unamended))</vt:lpstr>
    </vt:vector>
  </TitlesOfParts>
  <Company>State of Texas</Company>
  <LinksUpToDate>false</LinksUpToDate>
  <CharactersWithSpaces>9042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26215</dc:subject>
  <dc:creator>State of Texas</dc:creator>
  <dc:description>HB 2898 by Gonzales, Larry-(H)Public Health</dc:description>
  <cp:lastModifiedBy> Stacey Nicchio</cp:lastModifiedBy>
  <cp:revision>2</cp:revision>
  <cp:lastPrinted>2017-04-09T19:26:00Z</cp:lastPrinted>
  <dcterms:created xsi:type="dcterms:W3CDTF">2017-05-01T16:33:00Z</dcterms:created>
  <dcterms:modified xsi:type="dcterms:W3CDTF">2017-05-01T16:33:00Z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17.115.125</vt:lpwstr>
  </property>
</Properties>
</file>