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1BFF" w:rsidTr="00345119">
        <w:tc>
          <w:tcPr>
            <w:tcW w:w="9576" w:type="dxa"/>
            <w:noWrap/>
          </w:tcPr>
          <w:p w:rsidR="008423E4" w:rsidRPr="0022177D" w:rsidRDefault="006A6C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6CD3" w:rsidP="008423E4">
      <w:pPr>
        <w:jc w:val="center"/>
      </w:pPr>
    </w:p>
    <w:p w:rsidR="008423E4" w:rsidRPr="00B31F0E" w:rsidRDefault="006A6CD3" w:rsidP="008423E4"/>
    <w:p w:rsidR="008423E4" w:rsidRPr="00742794" w:rsidRDefault="006A6C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1BFF" w:rsidTr="00345119">
        <w:tc>
          <w:tcPr>
            <w:tcW w:w="9576" w:type="dxa"/>
          </w:tcPr>
          <w:p w:rsidR="008423E4" w:rsidRPr="00861995" w:rsidRDefault="006A6CD3" w:rsidP="00345119">
            <w:pPr>
              <w:jc w:val="right"/>
            </w:pPr>
            <w:r>
              <w:t>H.B. 2931</w:t>
            </w:r>
          </w:p>
        </w:tc>
      </w:tr>
      <w:tr w:rsidR="00271BFF" w:rsidTr="00345119">
        <w:tc>
          <w:tcPr>
            <w:tcW w:w="9576" w:type="dxa"/>
          </w:tcPr>
          <w:p w:rsidR="008423E4" w:rsidRPr="00861995" w:rsidRDefault="006A6CD3" w:rsidP="007A64BA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271BFF" w:rsidTr="00345119">
        <w:tc>
          <w:tcPr>
            <w:tcW w:w="9576" w:type="dxa"/>
          </w:tcPr>
          <w:p w:rsidR="008423E4" w:rsidRPr="00861995" w:rsidRDefault="006A6CD3" w:rsidP="00345119">
            <w:pPr>
              <w:jc w:val="right"/>
            </w:pPr>
            <w:r>
              <w:t>Criminal Jurisprudence</w:t>
            </w:r>
          </w:p>
        </w:tc>
      </w:tr>
      <w:tr w:rsidR="00271BFF" w:rsidTr="00345119">
        <w:tc>
          <w:tcPr>
            <w:tcW w:w="9576" w:type="dxa"/>
          </w:tcPr>
          <w:p w:rsidR="008423E4" w:rsidRDefault="006A6C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A6CD3" w:rsidP="008423E4">
      <w:pPr>
        <w:tabs>
          <w:tab w:val="right" w:pos="9360"/>
        </w:tabs>
      </w:pPr>
    </w:p>
    <w:p w:rsidR="008423E4" w:rsidRDefault="006A6CD3" w:rsidP="008423E4"/>
    <w:p w:rsidR="008423E4" w:rsidRDefault="006A6C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1BFF" w:rsidTr="00345119">
        <w:tc>
          <w:tcPr>
            <w:tcW w:w="9576" w:type="dxa"/>
          </w:tcPr>
          <w:p w:rsidR="008423E4" w:rsidRDefault="006A6CD3" w:rsidP="004B2C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BA7F26" w:rsidRDefault="006A6CD3" w:rsidP="004B2C7E">
            <w:pPr>
              <w:rPr>
                <w:b/>
              </w:rPr>
            </w:pPr>
          </w:p>
          <w:p w:rsidR="00CD435E" w:rsidRDefault="006A6CD3" w:rsidP="004B2C7E">
            <w:pPr>
              <w:jc w:val="both"/>
            </w:pPr>
            <w:r>
              <w:t xml:space="preserve">During the 83rd Legislature, the House Select Committee on Criminal Procedure Reform recommended that, on an incremental basis, the </w:t>
            </w:r>
            <w:r>
              <w:t>Code of Criminal Procedure be subject to a nonsubstantive revision each interim and tasked the Texas Legislative Council with implementing the project. The council incorporated the project into its long-standing program related to clarifying and simplifyin</w:t>
            </w:r>
            <w:r>
              <w:t>g statutory law</w:t>
            </w:r>
            <w:r>
              <w:t xml:space="preserve"> as part of </w:t>
            </w:r>
            <w:r>
              <w:t>its</w:t>
            </w:r>
            <w:r>
              <w:t xml:space="preserve"> complete nonsubstantive revision of the Texas statutes</w:t>
            </w:r>
            <w:r>
              <w:t>, which is p</w:t>
            </w:r>
            <w:r>
              <w:t>erformed on an ongoing basis as required by the</w:t>
            </w:r>
            <w:r>
              <w:t xml:space="preserve"> Government Code</w:t>
            </w:r>
            <w:r>
              <w:t xml:space="preserve">. </w:t>
            </w:r>
            <w:r>
              <w:t>H.B. 29</w:t>
            </w:r>
            <w:r>
              <w:t>31</w:t>
            </w:r>
            <w:r>
              <w:t xml:space="preserve"> codifies Articles 18.20 and 18.21, Code of Criminal Procedure, as new Chapters 18A a</w:t>
            </w:r>
            <w:r>
              <w:t>nd 18B, Code of Criminal Procedure, respectively, and Chapters 60 and 61, Code of Criminal Procedure, as new Chapters 66 and 67, Code of Criminal Procedure, respectively</w:t>
            </w:r>
            <w:r w:rsidRPr="0027271E">
              <w:t>.</w:t>
            </w:r>
          </w:p>
          <w:p w:rsidR="008423E4" w:rsidRPr="00E26B13" w:rsidRDefault="006A6CD3" w:rsidP="004B2C7E">
            <w:pPr>
              <w:rPr>
                <w:b/>
              </w:rPr>
            </w:pPr>
          </w:p>
        </w:tc>
      </w:tr>
      <w:tr w:rsidR="00271BFF" w:rsidTr="00345119">
        <w:tc>
          <w:tcPr>
            <w:tcW w:w="9576" w:type="dxa"/>
          </w:tcPr>
          <w:p w:rsidR="0017725B" w:rsidRDefault="006A6CD3" w:rsidP="004B2C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6CD3" w:rsidP="004B2C7E">
            <w:pPr>
              <w:rPr>
                <w:b/>
                <w:u w:val="single"/>
              </w:rPr>
            </w:pPr>
          </w:p>
          <w:p w:rsidR="0029293C" w:rsidRPr="0029293C" w:rsidRDefault="006A6CD3" w:rsidP="004B2C7E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A6CD3" w:rsidP="004B2C7E">
            <w:pPr>
              <w:rPr>
                <w:b/>
                <w:u w:val="single"/>
              </w:rPr>
            </w:pPr>
          </w:p>
        </w:tc>
      </w:tr>
      <w:tr w:rsidR="00271BFF" w:rsidTr="00345119">
        <w:tc>
          <w:tcPr>
            <w:tcW w:w="9576" w:type="dxa"/>
          </w:tcPr>
          <w:p w:rsidR="008423E4" w:rsidRPr="00A8133F" w:rsidRDefault="006A6CD3" w:rsidP="004B2C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6CD3" w:rsidP="004B2C7E"/>
          <w:p w:rsidR="0029293C" w:rsidRDefault="006A6CD3" w:rsidP="004B2C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6A6CD3" w:rsidP="004B2C7E">
            <w:pPr>
              <w:rPr>
                <w:b/>
              </w:rPr>
            </w:pPr>
          </w:p>
        </w:tc>
      </w:tr>
      <w:tr w:rsidR="00271BFF" w:rsidTr="00345119">
        <w:tc>
          <w:tcPr>
            <w:tcW w:w="9576" w:type="dxa"/>
          </w:tcPr>
          <w:p w:rsidR="008423E4" w:rsidRPr="00A8133F" w:rsidRDefault="006A6CD3" w:rsidP="004B2C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6CD3" w:rsidP="004B2C7E"/>
          <w:p w:rsidR="00454F76" w:rsidRDefault="006A6CD3" w:rsidP="004B2C7E">
            <w:pPr>
              <w:pStyle w:val="Header"/>
              <w:jc w:val="both"/>
            </w:pPr>
            <w:r>
              <w:t xml:space="preserve">H.B. 2931 </w:t>
            </w:r>
            <w:r w:rsidRPr="00CD435E">
              <w:t xml:space="preserve">proposes new chapters of the Code of Criminal Procedure, Chapters 18A, 18B, 66, </w:t>
            </w:r>
            <w:r w:rsidRPr="00CD435E">
              <w:t>and 67, which are nonsubstantive revisions of Articles 18.20 and 18.21 and Chapters 60 and 61, Code of Criminal Procedure, respectively. The bill is organized into six article</w:t>
            </w:r>
            <w:r>
              <w:t>s.</w:t>
            </w:r>
          </w:p>
          <w:p w:rsidR="00454F76" w:rsidRDefault="006A6CD3" w:rsidP="004B2C7E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Article 1 of the bill nonsubstantively </w:t>
            </w:r>
            <w:r>
              <w:t xml:space="preserve">codifies </w:t>
            </w:r>
            <w:r>
              <w:t>the following provisions of th</w:t>
            </w:r>
            <w:r>
              <w:t>e Code of Criminal Procedure: Article 18.20, Code of Criminal Procedure, which relates to the detection, interception, and use of wire, oral, and electronic communications, as new Chapter 18A; Article 18.21, Code of Criminal Procedure, which relates to the</w:t>
            </w:r>
            <w:r>
              <w:t xml:space="preserve"> installation and use of tracking equipment and access to communications, as new Chapter 18B, Code of Criminal Procedure; Chapter 60, Code of Criminal Procedure, which relates to the criminal history record system, as new Chapters 66, Code of Criminal Proc</w:t>
            </w:r>
            <w:r>
              <w:t xml:space="preserve">edure; and Chapter 61, Code of Criminal Procedure, which relates to the compilation of information pertaining to combinations and criminal street gangs, as new Chapter 67, Code of Criminal Procedure. </w:t>
            </w:r>
          </w:p>
          <w:p w:rsidR="00454F76" w:rsidRDefault="006A6CD3" w:rsidP="004B2C7E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Article</w:t>
            </w:r>
            <w:r>
              <w:t>s</w:t>
            </w:r>
            <w:r>
              <w:t xml:space="preserve"> 2</w:t>
            </w:r>
            <w:r>
              <w:t>, 3, and 4</w:t>
            </w:r>
            <w:r>
              <w:t xml:space="preserve"> of the bill contain conforming ame</w:t>
            </w:r>
            <w:r>
              <w:t>ndments to certain other laws as necessary to continue without substantive change</w:t>
            </w:r>
            <w:r>
              <w:t>s to</w:t>
            </w:r>
            <w:r>
              <w:t xml:space="preserve"> </w:t>
            </w:r>
            <w:r>
              <w:t xml:space="preserve">statutory </w:t>
            </w:r>
            <w:r>
              <w:t>provisions not codified as part of the proposed chapter</w:t>
            </w:r>
            <w:r>
              <w:t>s</w:t>
            </w:r>
            <w:r>
              <w:t>.</w:t>
            </w:r>
          </w:p>
          <w:p w:rsidR="00454F76" w:rsidRDefault="006A6CD3" w:rsidP="004B2C7E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Article </w:t>
            </w:r>
            <w:r>
              <w:t>5</w:t>
            </w:r>
            <w:r>
              <w:t xml:space="preserve"> of the bill contains the repeal of Article</w:t>
            </w:r>
            <w:r>
              <w:t>s</w:t>
            </w:r>
            <w:r>
              <w:t xml:space="preserve"> </w:t>
            </w:r>
            <w:r>
              <w:t>18.20 and 18.21 and Chapters 60 and 61</w:t>
            </w:r>
            <w:r>
              <w:t xml:space="preserve">, Code of </w:t>
            </w:r>
            <w:r>
              <w:t>Criminal Procedure.</w:t>
            </w:r>
          </w:p>
          <w:p w:rsidR="008423E4" w:rsidRDefault="006A6CD3" w:rsidP="004B2C7E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lastRenderedPageBreak/>
              <w:t xml:space="preserve">Article </w:t>
            </w:r>
            <w:r>
              <w:t>6</w:t>
            </w:r>
            <w:r>
              <w:t xml:space="preserve"> of the bill provides that the </w:t>
            </w:r>
            <w:r>
              <w:t xml:space="preserve">bill is intended as a codification only, that no substantive change in the law is intended by the bill, </w:t>
            </w:r>
            <w:r>
              <w:t>and that the</w:t>
            </w:r>
            <w:r>
              <w:t xml:space="preserve"> bill takes effect April 1, 2019</w:t>
            </w:r>
            <w:r>
              <w:t>.</w:t>
            </w:r>
          </w:p>
          <w:p w:rsidR="008423E4" w:rsidRPr="00835628" w:rsidRDefault="006A6CD3" w:rsidP="004B2C7E">
            <w:pPr>
              <w:rPr>
                <w:b/>
              </w:rPr>
            </w:pPr>
          </w:p>
        </w:tc>
      </w:tr>
      <w:tr w:rsidR="00271BFF" w:rsidTr="00345119">
        <w:tc>
          <w:tcPr>
            <w:tcW w:w="9576" w:type="dxa"/>
          </w:tcPr>
          <w:p w:rsidR="008423E4" w:rsidRPr="00A8133F" w:rsidRDefault="006A6CD3" w:rsidP="004B2C7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6CD3" w:rsidP="004B2C7E"/>
          <w:p w:rsidR="008423E4" w:rsidRPr="003624F2" w:rsidRDefault="006A6CD3" w:rsidP="004B2C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April 1, 2019.</w:t>
            </w:r>
          </w:p>
          <w:p w:rsidR="008423E4" w:rsidRPr="00233FDB" w:rsidRDefault="006A6CD3" w:rsidP="004B2C7E">
            <w:pPr>
              <w:rPr>
                <w:b/>
              </w:rPr>
            </w:pPr>
          </w:p>
        </w:tc>
      </w:tr>
    </w:tbl>
    <w:p w:rsidR="008423E4" w:rsidRPr="00BE0E75" w:rsidRDefault="006A6C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6CD3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6CD3">
      <w:r>
        <w:separator/>
      </w:r>
    </w:p>
  </w:endnote>
  <w:endnote w:type="continuationSeparator" w:id="0">
    <w:p w:rsidR="00000000" w:rsidRDefault="006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A6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1BFF" w:rsidTr="009C1E9A">
      <w:trPr>
        <w:cantSplit/>
      </w:trPr>
      <w:tc>
        <w:tcPr>
          <w:tcW w:w="0" w:type="pct"/>
        </w:tcPr>
        <w:p w:rsidR="00137D90" w:rsidRDefault="006A6C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6C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6C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6C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6C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BFF" w:rsidTr="009C1E9A">
      <w:trPr>
        <w:cantSplit/>
      </w:trPr>
      <w:tc>
        <w:tcPr>
          <w:tcW w:w="0" w:type="pct"/>
        </w:tcPr>
        <w:p w:rsidR="00EC379B" w:rsidRDefault="006A6C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6C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24926</w:t>
          </w:r>
        </w:p>
      </w:tc>
      <w:tc>
        <w:tcPr>
          <w:tcW w:w="2453" w:type="pct"/>
        </w:tcPr>
        <w:p w:rsidR="00EC379B" w:rsidRDefault="006A6C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17.110.38</w:t>
          </w:r>
          <w:r>
            <w:fldChar w:fldCharType="end"/>
          </w:r>
        </w:p>
      </w:tc>
    </w:tr>
    <w:tr w:rsidR="00271BFF" w:rsidTr="009C1E9A">
      <w:trPr>
        <w:cantSplit/>
      </w:trPr>
      <w:tc>
        <w:tcPr>
          <w:tcW w:w="0" w:type="pct"/>
        </w:tcPr>
        <w:p w:rsidR="00EC379B" w:rsidRDefault="006A6C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6C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A6CD3" w:rsidP="006D504F">
          <w:pPr>
            <w:pStyle w:val="Footer"/>
            <w:rPr>
              <w:rStyle w:val="PageNumber"/>
            </w:rPr>
          </w:pPr>
        </w:p>
        <w:p w:rsidR="00EC379B" w:rsidRDefault="006A6C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B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6C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6C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6C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A6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6CD3">
      <w:r>
        <w:separator/>
      </w:r>
    </w:p>
  </w:footnote>
  <w:footnote w:type="continuationSeparator" w:id="0">
    <w:p w:rsidR="00000000" w:rsidRDefault="006A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A6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A6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A6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98A"/>
    <w:multiLevelType w:val="hybridMultilevel"/>
    <w:tmpl w:val="2FECC934"/>
    <w:lvl w:ilvl="0" w:tplc="28D00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27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A3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C2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A5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EC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44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80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6E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696A"/>
    <w:multiLevelType w:val="hybridMultilevel"/>
    <w:tmpl w:val="AA1682CE"/>
    <w:lvl w:ilvl="0" w:tplc="F926C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64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CE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0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8E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E7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04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00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8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7315"/>
    <w:multiLevelType w:val="hybridMultilevel"/>
    <w:tmpl w:val="6ED41D52"/>
    <w:lvl w:ilvl="0" w:tplc="9B689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60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89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48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00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2E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88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9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0A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FF"/>
    <w:rsid w:val="00271BFF"/>
    <w:rsid w:val="006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1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1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18D7"/>
  </w:style>
  <w:style w:type="paragraph" w:styleId="CommentSubject">
    <w:name w:val="annotation subject"/>
    <w:basedOn w:val="CommentText"/>
    <w:next w:val="CommentText"/>
    <w:link w:val="CommentSubjectChar"/>
    <w:rsid w:val="00891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18D7"/>
    <w:rPr>
      <w:b/>
      <w:bCs/>
    </w:rPr>
  </w:style>
  <w:style w:type="character" w:styleId="Hyperlink">
    <w:name w:val="Hyperlink"/>
    <w:basedOn w:val="DefaultParagraphFont"/>
    <w:rsid w:val="00891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C0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1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1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18D7"/>
  </w:style>
  <w:style w:type="paragraph" w:styleId="CommentSubject">
    <w:name w:val="annotation subject"/>
    <w:basedOn w:val="CommentText"/>
    <w:next w:val="CommentText"/>
    <w:link w:val="CommentSubjectChar"/>
    <w:rsid w:val="00891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18D7"/>
    <w:rPr>
      <w:b/>
      <w:bCs/>
    </w:rPr>
  </w:style>
  <w:style w:type="character" w:styleId="Hyperlink">
    <w:name w:val="Hyperlink"/>
    <w:basedOn w:val="DefaultParagraphFont"/>
    <w:rsid w:val="00891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C0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2559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HB02931 (Committee Report (Unamended))</vt:lpstr>
    </vt:vector>
  </TitlesOfParts>
  <Company>State of Texas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24926</dc:subject>
  <dc:creator>State of Texas</dc:creator>
  <dc:description>HB 2931 by Moody-(H)Criminal Jurisprudence</dc:description>
  <cp:lastModifiedBy>Damian Duarte</cp:lastModifiedBy>
  <cp:revision>2</cp:revision>
  <cp:lastPrinted>2003-11-26T17:21:00Z</cp:lastPrinted>
  <dcterms:created xsi:type="dcterms:W3CDTF">2017-04-20T17:47:00Z</dcterms:created>
  <dcterms:modified xsi:type="dcterms:W3CDTF">2017-04-20T17:47:00Z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17.110.38</vt:lpwstr>
  </property>
</Properties>
</file>