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B3D1D" w:rsidTr="00345119">
        <w:tc>
          <w:tcPr>
            <w:tcW w:w="9576" w:type="dxa"/>
            <w:noWrap/>
          </w:tcPr>
          <w:p w:rsidR="008423E4" w:rsidRPr="0022177D" w:rsidRDefault="00B20875" w:rsidP="00345119">
            <w:pPr>
              <w:pStyle w:val="Heading1"/>
            </w:pPr>
            <w:bookmarkStart w:id="0" w:name="_GoBack"/>
            <w:bookmarkEnd w:id="0"/>
            <w:r w:rsidRPr="00631897">
              <w:t>BILL ANALYSIS</w:t>
            </w:r>
          </w:p>
        </w:tc>
      </w:tr>
    </w:tbl>
    <w:p w:rsidR="008423E4" w:rsidRPr="0022177D" w:rsidRDefault="00B20875" w:rsidP="008423E4">
      <w:pPr>
        <w:jc w:val="center"/>
      </w:pPr>
    </w:p>
    <w:p w:rsidR="008423E4" w:rsidRPr="00B31F0E" w:rsidRDefault="00B20875" w:rsidP="008423E4"/>
    <w:p w:rsidR="008423E4" w:rsidRPr="00742794" w:rsidRDefault="00B20875" w:rsidP="008423E4">
      <w:pPr>
        <w:tabs>
          <w:tab w:val="right" w:pos="9360"/>
        </w:tabs>
      </w:pPr>
    </w:p>
    <w:tbl>
      <w:tblPr>
        <w:tblW w:w="0" w:type="auto"/>
        <w:tblLayout w:type="fixed"/>
        <w:tblLook w:val="01E0" w:firstRow="1" w:lastRow="1" w:firstColumn="1" w:lastColumn="1" w:noHBand="0" w:noVBand="0"/>
      </w:tblPr>
      <w:tblGrid>
        <w:gridCol w:w="9576"/>
      </w:tblGrid>
      <w:tr w:rsidR="00DB3D1D" w:rsidTr="00345119">
        <w:tc>
          <w:tcPr>
            <w:tcW w:w="9576" w:type="dxa"/>
          </w:tcPr>
          <w:p w:rsidR="008423E4" w:rsidRPr="00861995" w:rsidRDefault="00B20875" w:rsidP="00345119">
            <w:pPr>
              <w:jc w:val="right"/>
            </w:pPr>
            <w:r>
              <w:t>H.B. 2964</w:t>
            </w:r>
          </w:p>
        </w:tc>
      </w:tr>
      <w:tr w:rsidR="00DB3D1D" w:rsidTr="00345119">
        <w:tc>
          <w:tcPr>
            <w:tcW w:w="9576" w:type="dxa"/>
          </w:tcPr>
          <w:p w:rsidR="008423E4" w:rsidRPr="00861995" w:rsidRDefault="00B20875" w:rsidP="003B39FB">
            <w:pPr>
              <w:jc w:val="right"/>
            </w:pPr>
            <w:r>
              <w:t xml:space="preserve">By: </w:t>
            </w:r>
            <w:r>
              <w:t>Meyer</w:t>
            </w:r>
          </w:p>
        </w:tc>
      </w:tr>
      <w:tr w:rsidR="00DB3D1D" w:rsidTr="00345119">
        <w:tc>
          <w:tcPr>
            <w:tcW w:w="9576" w:type="dxa"/>
          </w:tcPr>
          <w:p w:rsidR="008423E4" w:rsidRPr="00861995" w:rsidRDefault="00B20875" w:rsidP="00345119">
            <w:pPr>
              <w:jc w:val="right"/>
            </w:pPr>
            <w:r>
              <w:t>Investments &amp; Financial Services</w:t>
            </w:r>
          </w:p>
        </w:tc>
      </w:tr>
      <w:tr w:rsidR="00DB3D1D" w:rsidTr="00345119">
        <w:tc>
          <w:tcPr>
            <w:tcW w:w="9576" w:type="dxa"/>
          </w:tcPr>
          <w:p w:rsidR="008423E4" w:rsidRDefault="00B20875" w:rsidP="00345119">
            <w:pPr>
              <w:jc w:val="right"/>
            </w:pPr>
            <w:r>
              <w:t>Committee Report (Unamended)</w:t>
            </w:r>
          </w:p>
        </w:tc>
      </w:tr>
    </w:tbl>
    <w:p w:rsidR="008423E4" w:rsidRDefault="00B20875" w:rsidP="008423E4">
      <w:pPr>
        <w:tabs>
          <w:tab w:val="right" w:pos="9360"/>
        </w:tabs>
      </w:pPr>
    </w:p>
    <w:p w:rsidR="008423E4" w:rsidRDefault="00B20875" w:rsidP="008423E4"/>
    <w:p w:rsidR="008423E4" w:rsidRDefault="00B20875" w:rsidP="008423E4"/>
    <w:tbl>
      <w:tblPr>
        <w:tblW w:w="0" w:type="auto"/>
        <w:tblCellMar>
          <w:left w:w="115" w:type="dxa"/>
          <w:right w:w="115" w:type="dxa"/>
        </w:tblCellMar>
        <w:tblLook w:val="01E0" w:firstRow="1" w:lastRow="1" w:firstColumn="1" w:lastColumn="1" w:noHBand="0" w:noVBand="0"/>
      </w:tblPr>
      <w:tblGrid>
        <w:gridCol w:w="9576"/>
      </w:tblGrid>
      <w:tr w:rsidR="00DB3D1D" w:rsidTr="00345119">
        <w:tc>
          <w:tcPr>
            <w:tcW w:w="9576" w:type="dxa"/>
          </w:tcPr>
          <w:p w:rsidR="008423E4" w:rsidRPr="00A8133F" w:rsidRDefault="00B20875" w:rsidP="005C2EB6">
            <w:pPr>
              <w:rPr>
                <w:b/>
              </w:rPr>
            </w:pPr>
            <w:r w:rsidRPr="009C1E9A">
              <w:rPr>
                <w:b/>
                <w:u w:val="single"/>
              </w:rPr>
              <w:t>BACKGROUND AND PURPOSE</w:t>
            </w:r>
            <w:r>
              <w:rPr>
                <w:b/>
              </w:rPr>
              <w:t xml:space="preserve"> </w:t>
            </w:r>
          </w:p>
          <w:p w:rsidR="008423E4" w:rsidRDefault="00B20875" w:rsidP="005C2EB6"/>
          <w:p w:rsidR="008423E4" w:rsidRDefault="00B20875" w:rsidP="005C2EB6">
            <w:pPr>
              <w:pStyle w:val="Header"/>
              <w:tabs>
                <w:tab w:val="clear" w:pos="4320"/>
                <w:tab w:val="clear" w:pos="8640"/>
              </w:tabs>
              <w:jc w:val="both"/>
            </w:pPr>
            <w:r w:rsidRPr="00F75AE6">
              <w:t xml:space="preserve">Interested parties </w:t>
            </w:r>
            <w:r>
              <w:t>contend</w:t>
            </w:r>
            <w:r w:rsidRPr="00F75AE6">
              <w:t xml:space="preserve"> that the </w:t>
            </w:r>
            <w:r>
              <w:t>law regarding when shares in a mutual fund are presumed abandoned</w:t>
            </w:r>
            <w:r w:rsidRPr="00F75AE6">
              <w:t xml:space="preserve"> </w:t>
            </w:r>
            <w:r>
              <w:t xml:space="preserve">is </w:t>
            </w:r>
            <w:r w:rsidRPr="00F75AE6">
              <w:t>ambigu</w:t>
            </w:r>
            <w:r>
              <w:t>ous</w:t>
            </w:r>
            <w:r w:rsidRPr="00F75AE6">
              <w:t xml:space="preserve"> </w:t>
            </w:r>
            <w:r>
              <w:t>as to</w:t>
            </w:r>
            <w:r w:rsidRPr="00F75AE6">
              <w:t xml:space="preserve"> </w:t>
            </w:r>
            <w:r w:rsidRPr="00F75AE6">
              <w:t xml:space="preserve">when </w:t>
            </w:r>
            <w:r>
              <w:t xml:space="preserve">the initial </w:t>
            </w:r>
            <w:r w:rsidRPr="00F75AE6">
              <w:t>abandonment occur</w:t>
            </w:r>
            <w:r>
              <w:t>s</w:t>
            </w:r>
            <w:r w:rsidRPr="00F75AE6">
              <w:t xml:space="preserve">. H.B. 2964 </w:t>
            </w:r>
            <w:r>
              <w:t>seeks to resolve this ambiguity</w:t>
            </w:r>
            <w:r w:rsidRPr="00F75AE6">
              <w:t>.</w:t>
            </w:r>
          </w:p>
          <w:p w:rsidR="008423E4" w:rsidRPr="00E26B13" w:rsidRDefault="00B20875" w:rsidP="005C2EB6">
            <w:pPr>
              <w:rPr>
                <w:b/>
              </w:rPr>
            </w:pPr>
          </w:p>
        </w:tc>
      </w:tr>
      <w:tr w:rsidR="00DB3D1D" w:rsidTr="00345119">
        <w:tc>
          <w:tcPr>
            <w:tcW w:w="9576" w:type="dxa"/>
          </w:tcPr>
          <w:p w:rsidR="0017725B" w:rsidRDefault="00B20875" w:rsidP="005C2EB6">
            <w:pPr>
              <w:rPr>
                <w:b/>
                <w:u w:val="single"/>
              </w:rPr>
            </w:pPr>
            <w:r>
              <w:rPr>
                <w:b/>
                <w:u w:val="single"/>
              </w:rPr>
              <w:t>CRIMINAL JUSTICE IMPACT</w:t>
            </w:r>
          </w:p>
          <w:p w:rsidR="0017725B" w:rsidRDefault="00B20875" w:rsidP="005C2EB6">
            <w:pPr>
              <w:rPr>
                <w:b/>
                <w:u w:val="single"/>
              </w:rPr>
            </w:pPr>
          </w:p>
          <w:p w:rsidR="009D21E9" w:rsidRPr="009D21E9" w:rsidRDefault="00B20875" w:rsidP="005C2EB6">
            <w:pPr>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rsidR="0017725B" w:rsidRPr="0017725B" w:rsidRDefault="00B20875" w:rsidP="005C2EB6">
            <w:pPr>
              <w:rPr>
                <w:b/>
                <w:u w:val="single"/>
              </w:rPr>
            </w:pPr>
          </w:p>
        </w:tc>
      </w:tr>
      <w:tr w:rsidR="00DB3D1D" w:rsidTr="00345119">
        <w:tc>
          <w:tcPr>
            <w:tcW w:w="9576" w:type="dxa"/>
          </w:tcPr>
          <w:p w:rsidR="008423E4" w:rsidRPr="00A8133F" w:rsidRDefault="00B20875" w:rsidP="005C2EB6">
            <w:pPr>
              <w:rPr>
                <w:b/>
              </w:rPr>
            </w:pPr>
            <w:r w:rsidRPr="009C1E9A">
              <w:rPr>
                <w:b/>
                <w:u w:val="single"/>
              </w:rPr>
              <w:t>RULEMAKING AUTHORITY</w:t>
            </w:r>
            <w:r>
              <w:rPr>
                <w:b/>
              </w:rPr>
              <w:t xml:space="preserve"> </w:t>
            </w:r>
          </w:p>
          <w:p w:rsidR="008423E4" w:rsidRDefault="00B20875" w:rsidP="005C2EB6"/>
          <w:p w:rsidR="009D21E9" w:rsidRDefault="00B20875" w:rsidP="005C2EB6">
            <w:pPr>
              <w:pStyle w:val="Header"/>
              <w:tabs>
                <w:tab w:val="clear" w:pos="4320"/>
                <w:tab w:val="clear" w:pos="8640"/>
              </w:tabs>
              <w:jc w:val="both"/>
            </w:pPr>
            <w:r>
              <w:t>It is the committee's opinion that this bill does not expressly grant any additional rulemaking authority to</w:t>
            </w:r>
            <w:r>
              <w:t xml:space="preserve"> a state officer, department, agency, or institution.</w:t>
            </w:r>
          </w:p>
          <w:p w:rsidR="008423E4" w:rsidRPr="00E21FDC" w:rsidRDefault="00B20875" w:rsidP="005C2EB6">
            <w:pPr>
              <w:rPr>
                <w:b/>
              </w:rPr>
            </w:pPr>
          </w:p>
        </w:tc>
      </w:tr>
      <w:tr w:rsidR="00DB3D1D" w:rsidTr="00345119">
        <w:tc>
          <w:tcPr>
            <w:tcW w:w="9576" w:type="dxa"/>
          </w:tcPr>
          <w:p w:rsidR="008423E4" w:rsidRPr="00A8133F" w:rsidRDefault="00B20875" w:rsidP="005C2EB6">
            <w:pPr>
              <w:rPr>
                <w:b/>
              </w:rPr>
            </w:pPr>
            <w:r w:rsidRPr="009C1E9A">
              <w:rPr>
                <w:b/>
                <w:u w:val="single"/>
              </w:rPr>
              <w:t>ANALYSIS</w:t>
            </w:r>
            <w:r>
              <w:rPr>
                <w:b/>
              </w:rPr>
              <w:t xml:space="preserve"> </w:t>
            </w:r>
          </w:p>
          <w:p w:rsidR="008423E4" w:rsidRDefault="00B20875" w:rsidP="005C2EB6"/>
          <w:p w:rsidR="008423E4" w:rsidRDefault="00B20875" w:rsidP="005C2EB6">
            <w:pPr>
              <w:pStyle w:val="Header"/>
              <w:jc w:val="both"/>
            </w:pPr>
            <w:r>
              <w:t xml:space="preserve">H.B. 2964 amends the Property Code to </w:t>
            </w:r>
            <w:r>
              <w:t xml:space="preserve">specify </w:t>
            </w:r>
            <w:r>
              <w:t xml:space="preserve">that the three-year period </w:t>
            </w:r>
            <w:r>
              <w:t>leading to a</w:t>
            </w:r>
            <w:r>
              <w:t xml:space="preserve"> presum</w:t>
            </w:r>
            <w:r>
              <w:t>ption</w:t>
            </w:r>
            <w:r>
              <w:t xml:space="preserve"> </w:t>
            </w:r>
            <w:r>
              <w:t xml:space="preserve">of </w:t>
            </w:r>
            <w:r>
              <w:t>abandon</w:t>
            </w:r>
            <w:r>
              <w:t>m</w:t>
            </w:r>
            <w:r>
              <w:t>e</w:t>
            </w:r>
            <w:r>
              <w:t>nt</w:t>
            </w:r>
            <w:r>
              <w:t xml:space="preserve"> with respect to shares in a mutual fund begins on the later of the date of the last investment in the mutual fund made by or on behalf of the owner or the last payment to the owner or reinvestment by or on behalf of the owner of a dividend from the mutual</w:t>
            </w:r>
            <w:r>
              <w:t xml:space="preserve"> fund.</w:t>
            </w:r>
          </w:p>
          <w:p w:rsidR="008423E4" w:rsidRPr="00835628" w:rsidRDefault="00B20875" w:rsidP="005C2EB6">
            <w:pPr>
              <w:rPr>
                <w:b/>
              </w:rPr>
            </w:pPr>
          </w:p>
        </w:tc>
      </w:tr>
      <w:tr w:rsidR="00DB3D1D" w:rsidTr="00345119">
        <w:tc>
          <w:tcPr>
            <w:tcW w:w="9576" w:type="dxa"/>
          </w:tcPr>
          <w:p w:rsidR="008423E4" w:rsidRPr="00A8133F" w:rsidRDefault="00B20875" w:rsidP="005C2EB6">
            <w:pPr>
              <w:rPr>
                <w:b/>
              </w:rPr>
            </w:pPr>
            <w:r w:rsidRPr="009C1E9A">
              <w:rPr>
                <w:b/>
                <w:u w:val="single"/>
              </w:rPr>
              <w:t>EFFECTIVE DATE</w:t>
            </w:r>
            <w:r>
              <w:rPr>
                <w:b/>
              </w:rPr>
              <w:t xml:space="preserve"> </w:t>
            </w:r>
          </w:p>
          <w:p w:rsidR="008423E4" w:rsidRDefault="00B20875" w:rsidP="005C2EB6"/>
          <w:p w:rsidR="008423E4" w:rsidRPr="003624F2" w:rsidRDefault="00B20875" w:rsidP="005C2EB6">
            <w:pPr>
              <w:pStyle w:val="Header"/>
              <w:tabs>
                <w:tab w:val="clear" w:pos="4320"/>
                <w:tab w:val="clear" w:pos="8640"/>
              </w:tabs>
              <w:jc w:val="both"/>
            </w:pPr>
            <w:r>
              <w:t>On passage, or, if the bill does not receive the necessary vote, September 1, 2017.</w:t>
            </w:r>
          </w:p>
          <w:p w:rsidR="008423E4" w:rsidRPr="00233FDB" w:rsidRDefault="00B20875" w:rsidP="005C2EB6">
            <w:pPr>
              <w:rPr>
                <w:b/>
              </w:rPr>
            </w:pPr>
          </w:p>
        </w:tc>
      </w:tr>
    </w:tbl>
    <w:p w:rsidR="008423E4" w:rsidRPr="00BE0E75" w:rsidRDefault="00B20875" w:rsidP="008423E4">
      <w:pPr>
        <w:spacing w:line="480" w:lineRule="auto"/>
        <w:jc w:val="both"/>
        <w:rPr>
          <w:rFonts w:ascii="Arial" w:hAnsi="Arial"/>
          <w:sz w:val="16"/>
          <w:szCs w:val="16"/>
        </w:rPr>
      </w:pPr>
    </w:p>
    <w:p w:rsidR="004108C3" w:rsidRPr="008423E4" w:rsidRDefault="00B2087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0875">
      <w:r>
        <w:separator/>
      </w:r>
    </w:p>
  </w:endnote>
  <w:endnote w:type="continuationSeparator" w:id="0">
    <w:p w:rsidR="00000000" w:rsidRDefault="00B2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B3D1D" w:rsidTr="009C1E9A">
      <w:trPr>
        <w:cantSplit/>
      </w:trPr>
      <w:tc>
        <w:tcPr>
          <w:tcW w:w="0" w:type="pct"/>
        </w:tcPr>
        <w:p w:rsidR="00137D90" w:rsidRDefault="00B20875" w:rsidP="009C1E9A">
          <w:pPr>
            <w:pStyle w:val="Footer"/>
            <w:tabs>
              <w:tab w:val="clear" w:pos="8640"/>
              <w:tab w:val="right" w:pos="9360"/>
            </w:tabs>
          </w:pPr>
        </w:p>
      </w:tc>
      <w:tc>
        <w:tcPr>
          <w:tcW w:w="2395" w:type="pct"/>
        </w:tcPr>
        <w:p w:rsidR="00137D90" w:rsidRDefault="00B20875" w:rsidP="009C1E9A">
          <w:pPr>
            <w:pStyle w:val="Footer"/>
            <w:tabs>
              <w:tab w:val="clear" w:pos="8640"/>
              <w:tab w:val="right" w:pos="9360"/>
            </w:tabs>
          </w:pPr>
        </w:p>
        <w:p w:rsidR="001A4310" w:rsidRDefault="00B20875" w:rsidP="009C1E9A">
          <w:pPr>
            <w:pStyle w:val="Footer"/>
            <w:tabs>
              <w:tab w:val="clear" w:pos="8640"/>
              <w:tab w:val="right" w:pos="9360"/>
            </w:tabs>
          </w:pPr>
        </w:p>
        <w:p w:rsidR="00137D90" w:rsidRDefault="00B20875" w:rsidP="009C1E9A">
          <w:pPr>
            <w:pStyle w:val="Footer"/>
            <w:tabs>
              <w:tab w:val="clear" w:pos="8640"/>
              <w:tab w:val="right" w:pos="9360"/>
            </w:tabs>
          </w:pPr>
        </w:p>
      </w:tc>
      <w:tc>
        <w:tcPr>
          <w:tcW w:w="2453" w:type="pct"/>
        </w:tcPr>
        <w:p w:rsidR="00137D90" w:rsidRDefault="00B20875" w:rsidP="009C1E9A">
          <w:pPr>
            <w:pStyle w:val="Footer"/>
            <w:tabs>
              <w:tab w:val="clear" w:pos="8640"/>
              <w:tab w:val="right" w:pos="9360"/>
            </w:tabs>
            <w:jc w:val="right"/>
          </w:pPr>
        </w:p>
      </w:tc>
    </w:tr>
    <w:tr w:rsidR="00DB3D1D" w:rsidTr="009C1E9A">
      <w:trPr>
        <w:cantSplit/>
      </w:trPr>
      <w:tc>
        <w:tcPr>
          <w:tcW w:w="0" w:type="pct"/>
        </w:tcPr>
        <w:p w:rsidR="00EC379B" w:rsidRDefault="00B20875" w:rsidP="009C1E9A">
          <w:pPr>
            <w:pStyle w:val="Footer"/>
            <w:tabs>
              <w:tab w:val="clear" w:pos="8640"/>
              <w:tab w:val="right" w:pos="9360"/>
            </w:tabs>
          </w:pPr>
        </w:p>
      </w:tc>
      <w:tc>
        <w:tcPr>
          <w:tcW w:w="2395" w:type="pct"/>
        </w:tcPr>
        <w:p w:rsidR="00EC379B" w:rsidRPr="009C1E9A" w:rsidRDefault="00B20875" w:rsidP="009C1E9A">
          <w:pPr>
            <w:pStyle w:val="Footer"/>
            <w:tabs>
              <w:tab w:val="clear" w:pos="8640"/>
              <w:tab w:val="right" w:pos="9360"/>
            </w:tabs>
            <w:rPr>
              <w:rFonts w:ascii="Shruti" w:hAnsi="Shruti"/>
              <w:sz w:val="22"/>
            </w:rPr>
          </w:pPr>
          <w:r>
            <w:rPr>
              <w:rFonts w:ascii="Shruti" w:hAnsi="Shruti"/>
              <w:sz w:val="22"/>
            </w:rPr>
            <w:t>85R 19135</w:t>
          </w:r>
        </w:p>
      </w:tc>
      <w:tc>
        <w:tcPr>
          <w:tcW w:w="2453" w:type="pct"/>
        </w:tcPr>
        <w:p w:rsidR="00EC379B" w:rsidRDefault="00B20875" w:rsidP="009C1E9A">
          <w:pPr>
            <w:pStyle w:val="Footer"/>
            <w:tabs>
              <w:tab w:val="clear" w:pos="8640"/>
              <w:tab w:val="right" w:pos="9360"/>
            </w:tabs>
            <w:jc w:val="right"/>
          </w:pPr>
          <w:r>
            <w:fldChar w:fldCharType="begin"/>
          </w:r>
          <w:r>
            <w:instrText xml:space="preserve"> DOCPROPERTY  OTID  \* MERGEFORMAT </w:instrText>
          </w:r>
          <w:r>
            <w:fldChar w:fldCharType="separate"/>
          </w:r>
          <w:r>
            <w:t>17.82.699</w:t>
          </w:r>
          <w:r>
            <w:fldChar w:fldCharType="end"/>
          </w:r>
        </w:p>
      </w:tc>
    </w:tr>
    <w:tr w:rsidR="00DB3D1D" w:rsidTr="009C1E9A">
      <w:trPr>
        <w:cantSplit/>
      </w:trPr>
      <w:tc>
        <w:tcPr>
          <w:tcW w:w="0" w:type="pct"/>
        </w:tcPr>
        <w:p w:rsidR="00EC379B" w:rsidRDefault="00B20875" w:rsidP="009C1E9A">
          <w:pPr>
            <w:pStyle w:val="Footer"/>
            <w:tabs>
              <w:tab w:val="clear" w:pos="4320"/>
              <w:tab w:val="clear" w:pos="8640"/>
              <w:tab w:val="left" w:pos="2865"/>
            </w:tabs>
          </w:pPr>
        </w:p>
      </w:tc>
      <w:tc>
        <w:tcPr>
          <w:tcW w:w="2395" w:type="pct"/>
        </w:tcPr>
        <w:p w:rsidR="00EC379B" w:rsidRPr="009C1E9A" w:rsidRDefault="00B20875" w:rsidP="009C1E9A">
          <w:pPr>
            <w:pStyle w:val="Footer"/>
            <w:tabs>
              <w:tab w:val="clear" w:pos="4320"/>
              <w:tab w:val="clear" w:pos="8640"/>
              <w:tab w:val="left" w:pos="2865"/>
            </w:tabs>
            <w:rPr>
              <w:rFonts w:ascii="Shruti" w:hAnsi="Shruti"/>
              <w:sz w:val="22"/>
            </w:rPr>
          </w:pPr>
        </w:p>
      </w:tc>
      <w:tc>
        <w:tcPr>
          <w:tcW w:w="2453" w:type="pct"/>
        </w:tcPr>
        <w:p w:rsidR="00EC379B" w:rsidRDefault="00B20875" w:rsidP="006D504F">
          <w:pPr>
            <w:pStyle w:val="Footer"/>
            <w:rPr>
              <w:rStyle w:val="PageNumber"/>
            </w:rPr>
          </w:pPr>
        </w:p>
        <w:p w:rsidR="00EC379B" w:rsidRDefault="00B20875" w:rsidP="009C1E9A">
          <w:pPr>
            <w:pStyle w:val="Footer"/>
            <w:tabs>
              <w:tab w:val="clear" w:pos="8640"/>
              <w:tab w:val="right" w:pos="9360"/>
            </w:tabs>
            <w:jc w:val="right"/>
          </w:pPr>
        </w:p>
      </w:tc>
    </w:tr>
    <w:tr w:rsidR="00DB3D1D" w:rsidTr="009C1E9A">
      <w:trPr>
        <w:cantSplit/>
        <w:trHeight w:val="323"/>
      </w:trPr>
      <w:tc>
        <w:tcPr>
          <w:tcW w:w="0" w:type="pct"/>
          <w:gridSpan w:val="3"/>
        </w:tcPr>
        <w:p w:rsidR="00EC379B" w:rsidRDefault="00B2087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0875" w:rsidP="009C1E9A">
          <w:pPr>
            <w:pStyle w:val="Footer"/>
            <w:tabs>
              <w:tab w:val="clear" w:pos="8640"/>
              <w:tab w:val="right" w:pos="9360"/>
            </w:tabs>
            <w:jc w:val="center"/>
          </w:pPr>
        </w:p>
      </w:tc>
    </w:tr>
  </w:tbl>
  <w:p w:rsidR="00EC379B" w:rsidRPr="00FF6F72" w:rsidRDefault="00B2087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0875">
      <w:r>
        <w:separator/>
      </w:r>
    </w:p>
  </w:footnote>
  <w:footnote w:type="continuationSeparator" w:id="0">
    <w:p w:rsidR="00000000" w:rsidRDefault="00B2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1D"/>
    <w:rsid w:val="00B20875"/>
    <w:rsid w:val="00DB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21E9"/>
    <w:rPr>
      <w:sz w:val="16"/>
      <w:szCs w:val="16"/>
    </w:rPr>
  </w:style>
  <w:style w:type="paragraph" w:styleId="CommentText">
    <w:name w:val="annotation text"/>
    <w:basedOn w:val="Normal"/>
    <w:link w:val="CommentTextChar"/>
    <w:rsid w:val="009D21E9"/>
    <w:rPr>
      <w:sz w:val="20"/>
      <w:szCs w:val="20"/>
    </w:rPr>
  </w:style>
  <w:style w:type="character" w:customStyle="1" w:styleId="CommentTextChar">
    <w:name w:val="Comment Text Char"/>
    <w:basedOn w:val="DefaultParagraphFont"/>
    <w:link w:val="CommentText"/>
    <w:rsid w:val="009D21E9"/>
  </w:style>
  <w:style w:type="paragraph" w:styleId="CommentSubject">
    <w:name w:val="annotation subject"/>
    <w:basedOn w:val="CommentText"/>
    <w:next w:val="CommentText"/>
    <w:link w:val="CommentSubjectChar"/>
    <w:rsid w:val="009D21E9"/>
    <w:rPr>
      <w:b/>
      <w:bCs/>
    </w:rPr>
  </w:style>
  <w:style w:type="character" w:customStyle="1" w:styleId="CommentSubjectChar">
    <w:name w:val="Comment Subject Char"/>
    <w:basedOn w:val="CommentTextChar"/>
    <w:link w:val="CommentSubject"/>
    <w:rsid w:val="009D21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D21E9"/>
    <w:rPr>
      <w:sz w:val="16"/>
      <w:szCs w:val="16"/>
    </w:rPr>
  </w:style>
  <w:style w:type="paragraph" w:styleId="CommentText">
    <w:name w:val="annotation text"/>
    <w:basedOn w:val="Normal"/>
    <w:link w:val="CommentTextChar"/>
    <w:rsid w:val="009D21E9"/>
    <w:rPr>
      <w:sz w:val="20"/>
      <w:szCs w:val="20"/>
    </w:rPr>
  </w:style>
  <w:style w:type="character" w:customStyle="1" w:styleId="CommentTextChar">
    <w:name w:val="Comment Text Char"/>
    <w:basedOn w:val="DefaultParagraphFont"/>
    <w:link w:val="CommentText"/>
    <w:rsid w:val="009D21E9"/>
  </w:style>
  <w:style w:type="paragraph" w:styleId="CommentSubject">
    <w:name w:val="annotation subject"/>
    <w:basedOn w:val="CommentText"/>
    <w:next w:val="CommentText"/>
    <w:link w:val="CommentSubjectChar"/>
    <w:rsid w:val="009D21E9"/>
    <w:rPr>
      <w:b/>
      <w:bCs/>
    </w:rPr>
  </w:style>
  <w:style w:type="character" w:customStyle="1" w:styleId="CommentSubjectChar">
    <w:name w:val="Comment Subject Char"/>
    <w:basedOn w:val="CommentTextChar"/>
    <w:link w:val="CommentSubject"/>
    <w:rsid w:val="009D2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1074</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19135</dc:subject>
  <dc:creator>State of Texas</dc:creator>
  <dc:description>HB 2964 by Meyer-(H)Investments &amp; Financial Services</dc:description>
  <cp:lastModifiedBy>Brianna Weis</cp:lastModifiedBy>
  <cp:revision>2</cp:revision>
  <cp:lastPrinted>2003-11-26T17:21:00Z</cp:lastPrinted>
  <dcterms:created xsi:type="dcterms:W3CDTF">2017-04-06T17:12:00Z</dcterms:created>
  <dcterms:modified xsi:type="dcterms:W3CDTF">2017-04-06T17:12:00Z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17.82.699</vt:lpwstr>
  </property>
</Properties>
</file>