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0B25" w:rsidTr="00345119">
        <w:tc>
          <w:tcPr>
            <w:tcW w:w="9576" w:type="dxa"/>
            <w:noWrap/>
          </w:tcPr>
          <w:p w:rsidR="008423E4" w:rsidRPr="0022177D" w:rsidRDefault="00616F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6FCD" w:rsidP="008423E4">
      <w:pPr>
        <w:jc w:val="center"/>
      </w:pPr>
    </w:p>
    <w:p w:rsidR="008423E4" w:rsidRPr="00B31F0E" w:rsidRDefault="00616FCD" w:rsidP="008423E4"/>
    <w:p w:rsidR="008423E4" w:rsidRPr="00742794" w:rsidRDefault="00616F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0B25" w:rsidTr="00345119">
        <w:tc>
          <w:tcPr>
            <w:tcW w:w="9576" w:type="dxa"/>
          </w:tcPr>
          <w:p w:rsidR="008423E4" w:rsidRPr="00861995" w:rsidRDefault="00616FCD" w:rsidP="00345119">
            <w:pPr>
              <w:jc w:val="right"/>
            </w:pPr>
            <w:r>
              <w:t>H.B. 2999</w:t>
            </w:r>
          </w:p>
        </w:tc>
      </w:tr>
      <w:tr w:rsidR="00480B25" w:rsidTr="00345119">
        <w:tc>
          <w:tcPr>
            <w:tcW w:w="9576" w:type="dxa"/>
          </w:tcPr>
          <w:p w:rsidR="008423E4" w:rsidRPr="00861995" w:rsidRDefault="00616FCD" w:rsidP="00CF22C7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480B25" w:rsidTr="00345119">
        <w:tc>
          <w:tcPr>
            <w:tcW w:w="9576" w:type="dxa"/>
          </w:tcPr>
          <w:p w:rsidR="008423E4" w:rsidRPr="00861995" w:rsidRDefault="00616FCD" w:rsidP="00345119">
            <w:pPr>
              <w:jc w:val="right"/>
            </w:pPr>
            <w:r>
              <w:t>Ways &amp; Means</w:t>
            </w:r>
          </w:p>
        </w:tc>
      </w:tr>
      <w:tr w:rsidR="00480B25" w:rsidTr="00345119">
        <w:tc>
          <w:tcPr>
            <w:tcW w:w="9576" w:type="dxa"/>
          </w:tcPr>
          <w:p w:rsidR="008423E4" w:rsidRDefault="00616F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16FCD" w:rsidP="008423E4">
      <w:pPr>
        <w:tabs>
          <w:tab w:val="right" w:pos="9360"/>
        </w:tabs>
      </w:pPr>
    </w:p>
    <w:p w:rsidR="008423E4" w:rsidRDefault="00616FCD" w:rsidP="008423E4"/>
    <w:p w:rsidR="008423E4" w:rsidRDefault="00616F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0B25" w:rsidTr="00345119">
        <w:tc>
          <w:tcPr>
            <w:tcW w:w="9576" w:type="dxa"/>
          </w:tcPr>
          <w:p w:rsidR="008423E4" w:rsidRPr="00A8133F" w:rsidRDefault="00616FCD" w:rsidP="00864B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6FCD" w:rsidP="00864B1E"/>
          <w:p w:rsidR="008423E4" w:rsidRDefault="00616FCD" w:rsidP="00864B1E">
            <w:pPr>
              <w:pStyle w:val="Header"/>
              <w:jc w:val="both"/>
            </w:pPr>
            <w:r>
              <w:t xml:space="preserve">According to interested parties, recent changes to the Texas Constitution require updates to the law relating to the exemption from property taxation of </w:t>
            </w:r>
            <w:r>
              <w:t xml:space="preserve">property </w:t>
            </w:r>
            <w:r>
              <w:t>owned by certain m</w:t>
            </w:r>
            <w:r>
              <w:t xml:space="preserve">edical </w:t>
            </w:r>
            <w:r>
              <w:t>c</w:t>
            </w:r>
            <w:r>
              <w:t>enter</w:t>
            </w:r>
            <w:r>
              <w:t>s</w:t>
            </w:r>
            <w:r>
              <w:t xml:space="preserve"> </w:t>
            </w:r>
            <w:r>
              <w:t>in certain counties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2999 </w:t>
            </w:r>
            <w:r>
              <w:t>seeks to provide for th</w:t>
            </w:r>
            <w:r>
              <w:t>e</w:t>
            </w:r>
            <w:r>
              <w:t>se upd</w:t>
            </w:r>
            <w:r>
              <w:t>ates, along with certain clarifications</w:t>
            </w:r>
            <w:r>
              <w:t>.</w:t>
            </w:r>
          </w:p>
          <w:p w:rsidR="008423E4" w:rsidRPr="00E26B13" w:rsidRDefault="00616FCD" w:rsidP="00864B1E">
            <w:pPr>
              <w:rPr>
                <w:b/>
              </w:rPr>
            </w:pPr>
          </w:p>
        </w:tc>
      </w:tr>
      <w:tr w:rsidR="00480B25" w:rsidTr="00345119">
        <w:tc>
          <w:tcPr>
            <w:tcW w:w="9576" w:type="dxa"/>
          </w:tcPr>
          <w:p w:rsidR="0017725B" w:rsidRDefault="00616FCD" w:rsidP="00864B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16FCD" w:rsidP="00864B1E">
            <w:pPr>
              <w:rPr>
                <w:b/>
                <w:u w:val="single"/>
              </w:rPr>
            </w:pPr>
          </w:p>
          <w:p w:rsidR="0035261E" w:rsidRPr="0035261E" w:rsidRDefault="00616FCD" w:rsidP="00864B1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616FCD" w:rsidP="00864B1E">
            <w:pPr>
              <w:rPr>
                <w:b/>
                <w:u w:val="single"/>
              </w:rPr>
            </w:pPr>
          </w:p>
        </w:tc>
      </w:tr>
      <w:tr w:rsidR="00480B25" w:rsidTr="00345119">
        <w:tc>
          <w:tcPr>
            <w:tcW w:w="9576" w:type="dxa"/>
          </w:tcPr>
          <w:p w:rsidR="008423E4" w:rsidRPr="00A8133F" w:rsidRDefault="00616FCD" w:rsidP="00864B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6FCD" w:rsidP="00864B1E"/>
          <w:p w:rsidR="0035261E" w:rsidRDefault="00616FCD" w:rsidP="00864B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616FCD" w:rsidP="00864B1E">
            <w:pPr>
              <w:rPr>
                <w:b/>
              </w:rPr>
            </w:pPr>
          </w:p>
        </w:tc>
      </w:tr>
      <w:tr w:rsidR="00480B25" w:rsidTr="00345119">
        <w:tc>
          <w:tcPr>
            <w:tcW w:w="9576" w:type="dxa"/>
          </w:tcPr>
          <w:p w:rsidR="008423E4" w:rsidRPr="00A8133F" w:rsidRDefault="00616FCD" w:rsidP="00864B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6FCD" w:rsidP="00864B1E"/>
          <w:p w:rsidR="008423E4" w:rsidRDefault="00616FCD" w:rsidP="00864B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2999 amends the Tax Code to </w:t>
            </w:r>
            <w:r>
              <w:t xml:space="preserve">revise the </w:t>
            </w:r>
            <w:r>
              <w:t xml:space="preserve">property tax exemption for property owned by certain medical centers in certain counties </w:t>
            </w:r>
            <w:r>
              <w:t xml:space="preserve">by </w:t>
            </w:r>
            <w:r>
              <w:t>clarif</w:t>
            </w:r>
            <w:r>
              <w:t>ying</w:t>
            </w:r>
            <w:r>
              <w:t xml:space="preserve"> that the county in which eligible property is located is a county with a population of 3.3 million or more;</w:t>
            </w:r>
            <w:r>
              <w:t xml:space="preserve"> </w:t>
            </w:r>
            <w:r>
              <w:t xml:space="preserve">by </w:t>
            </w:r>
            <w:r>
              <w:t>chang</w:t>
            </w:r>
            <w:r>
              <w:t>ing</w:t>
            </w:r>
            <w:r>
              <w:t xml:space="preserve"> the</w:t>
            </w:r>
            <w:r>
              <w:t xml:space="preserve"> eligible</w:t>
            </w:r>
            <w:r>
              <w:t xml:space="preserve"> owner from a </w:t>
            </w:r>
            <w:r>
              <w:t xml:space="preserve">nonprofit corporation as defined </w:t>
            </w:r>
            <w:r w:rsidRPr="007C7397">
              <w:t>in the Texas Non-Profit Corporation Act</w:t>
            </w:r>
            <w:r>
              <w:t xml:space="preserve"> </w:t>
            </w:r>
            <w:r>
              <w:t xml:space="preserve">to </w:t>
            </w:r>
            <w:r>
              <w:t>a nonprofit corporation as define</w:t>
            </w:r>
            <w:r>
              <w:t xml:space="preserve">d by </w:t>
            </w:r>
            <w:r>
              <w:t xml:space="preserve">the </w:t>
            </w:r>
            <w:r>
              <w:t xml:space="preserve">Business Organizations Code </w:t>
            </w:r>
            <w:r>
              <w:t xml:space="preserve">that is </w:t>
            </w:r>
            <w:r>
              <w:t xml:space="preserve">organized exclusively for </w:t>
            </w:r>
            <w:r w:rsidRPr="00A76B9B">
              <w:t>benevolent, charitable, and educational purposes</w:t>
            </w:r>
            <w:r>
              <w:t>;</w:t>
            </w:r>
            <w:r>
              <w:t xml:space="preserve"> </w:t>
            </w:r>
            <w:r>
              <w:t xml:space="preserve">by </w:t>
            </w:r>
            <w:r>
              <w:t>including</w:t>
            </w:r>
            <w:r>
              <w:t xml:space="preserve"> research uses </w:t>
            </w:r>
            <w:r>
              <w:t xml:space="preserve">and uses reasonably related to </w:t>
            </w:r>
            <w:r>
              <w:t>such</w:t>
            </w:r>
            <w:r>
              <w:t xml:space="preserve"> use as those </w:t>
            </w:r>
            <w:r>
              <w:t xml:space="preserve">uses </w:t>
            </w:r>
            <w:r>
              <w:t xml:space="preserve">for which the property must be held, </w:t>
            </w:r>
            <w:r>
              <w:t>in addition to</w:t>
            </w:r>
            <w:r>
              <w:t xml:space="preserve"> </w:t>
            </w:r>
            <w:r w:rsidRPr="00A76B9B">
              <w:t>au</w:t>
            </w:r>
            <w:r w:rsidRPr="00A76B9B">
              <w:t xml:space="preserve">xiliary uses to support the </w:t>
            </w:r>
            <w:r>
              <w:t xml:space="preserve">corporation's </w:t>
            </w:r>
            <w:r w:rsidRPr="00A76B9B">
              <w:t>benevolent, charitable, and educational functions</w:t>
            </w:r>
            <w:r>
              <w:t>;</w:t>
            </w:r>
            <w:r>
              <w:t xml:space="preserve"> </w:t>
            </w:r>
            <w:r>
              <w:t xml:space="preserve">by </w:t>
            </w:r>
            <w:r>
              <w:t>removing</w:t>
            </w:r>
            <w:r>
              <w:t xml:space="preserve"> the condition that property not be leased or otherwise used with a view to profit</w:t>
            </w:r>
            <w:r>
              <w:t>; and</w:t>
            </w:r>
            <w:r>
              <w:t xml:space="preserve"> </w:t>
            </w:r>
            <w:r>
              <w:t xml:space="preserve">by </w:t>
            </w:r>
            <w:r>
              <w:t xml:space="preserve">removing </w:t>
            </w:r>
            <w:r>
              <w:t>the specification that the exemption function as tho</w:t>
            </w:r>
            <w:r>
              <w:t>ugh the property were, during the applicable time, owned and held by the state for health and educational purposes</w:t>
            </w:r>
            <w:r>
              <w:t>.</w:t>
            </w:r>
          </w:p>
          <w:p w:rsidR="008423E4" w:rsidRPr="00835628" w:rsidRDefault="00616FCD" w:rsidP="00864B1E">
            <w:pPr>
              <w:rPr>
                <w:b/>
              </w:rPr>
            </w:pPr>
          </w:p>
        </w:tc>
      </w:tr>
      <w:tr w:rsidR="00480B25" w:rsidTr="00345119">
        <w:tc>
          <w:tcPr>
            <w:tcW w:w="9576" w:type="dxa"/>
          </w:tcPr>
          <w:p w:rsidR="0035261E" w:rsidRPr="00A8133F" w:rsidRDefault="00616FCD" w:rsidP="00864B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35261E" w:rsidRDefault="00616FCD" w:rsidP="00864B1E"/>
          <w:p w:rsidR="008423E4" w:rsidRPr="00A8133F" w:rsidRDefault="00616FCD" w:rsidP="00864B1E">
            <w:pPr>
              <w:rPr>
                <w:b/>
              </w:rPr>
            </w:pPr>
            <w:r>
              <w:t>January 1, 2018.</w:t>
            </w:r>
          </w:p>
          <w:p w:rsidR="008423E4" w:rsidRDefault="00616FCD" w:rsidP="00864B1E"/>
          <w:p w:rsidR="008423E4" w:rsidRPr="003624F2" w:rsidRDefault="00616FCD" w:rsidP="00864B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616FCD" w:rsidP="00864B1E">
            <w:pPr>
              <w:rPr>
                <w:b/>
              </w:rPr>
            </w:pPr>
          </w:p>
        </w:tc>
      </w:tr>
    </w:tbl>
    <w:p w:rsidR="008423E4" w:rsidRPr="00BE0E75" w:rsidRDefault="00616FC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16FCD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6FCD">
      <w:r>
        <w:separator/>
      </w:r>
    </w:p>
  </w:endnote>
  <w:endnote w:type="continuationSeparator" w:id="0">
    <w:p w:rsidR="00000000" w:rsidRDefault="0061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6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0B25" w:rsidTr="009C1E9A">
      <w:trPr>
        <w:cantSplit/>
      </w:trPr>
      <w:tc>
        <w:tcPr>
          <w:tcW w:w="0" w:type="pct"/>
        </w:tcPr>
        <w:p w:rsidR="00137D90" w:rsidRDefault="00616F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6F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6F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6F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6F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0B25" w:rsidTr="009C1E9A">
      <w:trPr>
        <w:cantSplit/>
      </w:trPr>
      <w:tc>
        <w:tcPr>
          <w:tcW w:w="0" w:type="pct"/>
        </w:tcPr>
        <w:p w:rsidR="00EC379B" w:rsidRDefault="00616F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6F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19509</w:t>
          </w:r>
        </w:p>
      </w:tc>
      <w:tc>
        <w:tcPr>
          <w:tcW w:w="2453" w:type="pct"/>
        </w:tcPr>
        <w:p w:rsidR="00EC379B" w:rsidRDefault="00616F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17.84.213</w:t>
          </w:r>
          <w:r>
            <w:fldChar w:fldCharType="end"/>
          </w:r>
        </w:p>
      </w:tc>
    </w:tr>
    <w:tr w:rsidR="00480B25" w:rsidTr="009C1E9A">
      <w:trPr>
        <w:cantSplit/>
      </w:trPr>
      <w:tc>
        <w:tcPr>
          <w:tcW w:w="0" w:type="pct"/>
        </w:tcPr>
        <w:p w:rsidR="00EC379B" w:rsidRDefault="00616F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6F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16FCD" w:rsidP="006D504F">
          <w:pPr>
            <w:pStyle w:val="Footer"/>
            <w:rPr>
              <w:rStyle w:val="PageNumber"/>
            </w:rPr>
          </w:pPr>
        </w:p>
        <w:p w:rsidR="00EC379B" w:rsidRDefault="00616F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0B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6F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16F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6F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6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6FCD">
      <w:r>
        <w:separator/>
      </w:r>
    </w:p>
  </w:footnote>
  <w:footnote w:type="continuationSeparator" w:id="0">
    <w:p w:rsidR="00000000" w:rsidRDefault="0061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6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6F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6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9E5"/>
    <w:multiLevelType w:val="hybridMultilevel"/>
    <w:tmpl w:val="D19CDCD6"/>
    <w:lvl w:ilvl="0" w:tplc="98629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83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48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2E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C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2C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2F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C9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81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5"/>
    <w:rsid w:val="00480B25"/>
    <w:rsid w:val="006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2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261E"/>
  </w:style>
  <w:style w:type="paragraph" w:styleId="CommentSubject">
    <w:name w:val="annotation subject"/>
    <w:basedOn w:val="CommentText"/>
    <w:next w:val="CommentText"/>
    <w:link w:val="CommentSubjectChar"/>
    <w:rsid w:val="0035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2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2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261E"/>
  </w:style>
  <w:style w:type="paragraph" w:styleId="CommentSubject">
    <w:name w:val="annotation subject"/>
    <w:basedOn w:val="CommentText"/>
    <w:next w:val="CommentText"/>
    <w:link w:val="CommentSubjectChar"/>
    <w:rsid w:val="0035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2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1656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HB02999 (Committee Report (Unamended))</vt:lpstr>
    </vt:vector>
  </TitlesOfParts>
  <Company>State of Texas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19509</dc:subject>
  <dc:creator>State of Texas</dc:creator>
  <dc:description>HB 2999 by Bonnen, Dennis-(H)Ways &amp; Means</dc:description>
  <cp:lastModifiedBy>Brianna Weis</cp:lastModifiedBy>
  <cp:revision>2</cp:revision>
  <cp:lastPrinted>2017-03-26T16:52:00Z</cp:lastPrinted>
  <dcterms:created xsi:type="dcterms:W3CDTF">2017-04-10T21:47:00Z</dcterms:created>
  <dcterms:modified xsi:type="dcterms:W3CDTF">2017-04-10T21:47:00Z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17.84.213</vt:lpwstr>
  </property>
</Properties>
</file>