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D36D1" w:rsidTr="00345119">
        <w:tc>
          <w:tcPr>
            <w:tcW w:w="9576" w:type="dxa"/>
            <w:noWrap/>
          </w:tcPr>
          <w:p w:rsidR="008423E4" w:rsidRPr="0022177D" w:rsidRDefault="0037213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72131" w:rsidP="008423E4">
      <w:pPr>
        <w:jc w:val="center"/>
      </w:pPr>
    </w:p>
    <w:p w:rsidR="008423E4" w:rsidRPr="00B31F0E" w:rsidRDefault="00372131" w:rsidP="008423E4"/>
    <w:p w:rsidR="008423E4" w:rsidRPr="00742794" w:rsidRDefault="0037213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D36D1" w:rsidTr="00345119">
        <w:tc>
          <w:tcPr>
            <w:tcW w:w="9576" w:type="dxa"/>
          </w:tcPr>
          <w:p w:rsidR="008423E4" w:rsidRPr="00861995" w:rsidRDefault="00372131" w:rsidP="00345119">
            <w:pPr>
              <w:jc w:val="right"/>
            </w:pPr>
            <w:r>
              <w:t>C.S.H.B. 3125</w:t>
            </w:r>
          </w:p>
        </w:tc>
      </w:tr>
      <w:tr w:rsidR="00BD36D1" w:rsidTr="00345119">
        <w:tc>
          <w:tcPr>
            <w:tcW w:w="9576" w:type="dxa"/>
          </w:tcPr>
          <w:p w:rsidR="008423E4" w:rsidRPr="00861995" w:rsidRDefault="00372131" w:rsidP="00073631">
            <w:pPr>
              <w:jc w:val="right"/>
            </w:pPr>
            <w:r>
              <w:t xml:space="preserve">By: </w:t>
            </w:r>
            <w:r>
              <w:t>Kuempel</w:t>
            </w:r>
          </w:p>
        </w:tc>
      </w:tr>
      <w:tr w:rsidR="00BD36D1" w:rsidTr="00345119">
        <w:tc>
          <w:tcPr>
            <w:tcW w:w="9576" w:type="dxa"/>
          </w:tcPr>
          <w:p w:rsidR="008423E4" w:rsidRPr="00861995" w:rsidRDefault="00372131" w:rsidP="00345119">
            <w:pPr>
              <w:jc w:val="right"/>
            </w:pPr>
            <w:r>
              <w:t>Licensing &amp; Administrative Procedures</w:t>
            </w:r>
          </w:p>
        </w:tc>
      </w:tr>
      <w:tr w:rsidR="00BD36D1" w:rsidTr="00345119">
        <w:tc>
          <w:tcPr>
            <w:tcW w:w="9576" w:type="dxa"/>
          </w:tcPr>
          <w:p w:rsidR="008423E4" w:rsidRDefault="00372131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372131" w:rsidP="008423E4">
      <w:pPr>
        <w:tabs>
          <w:tab w:val="right" w:pos="9360"/>
        </w:tabs>
      </w:pPr>
    </w:p>
    <w:p w:rsidR="008423E4" w:rsidRDefault="00372131" w:rsidP="008423E4"/>
    <w:p w:rsidR="008423E4" w:rsidRDefault="0037213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90"/>
      </w:tblGrid>
      <w:tr w:rsidR="00BD36D1" w:rsidTr="00073631">
        <w:tc>
          <w:tcPr>
            <w:tcW w:w="9582" w:type="dxa"/>
          </w:tcPr>
          <w:p w:rsidR="008423E4" w:rsidRPr="00A8133F" w:rsidRDefault="00372131" w:rsidP="000334A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72131" w:rsidP="000334AF"/>
          <w:p w:rsidR="002B255C" w:rsidRDefault="00372131" w:rsidP="000334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note that recently enacted legislation omitted </w:t>
            </w:r>
            <w:r>
              <w:t>teams organized in Texas that</w:t>
            </w:r>
            <w:r>
              <w:t xml:space="preserve"> </w:t>
            </w:r>
            <w:r>
              <w:t>are members of</w:t>
            </w:r>
            <w:r>
              <w:t xml:space="preserve"> certain leagues</w:t>
            </w:r>
            <w:r>
              <w:t xml:space="preserve"> </w:t>
            </w:r>
            <w:r>
              <w:t xml:space="preserve">and other persons hosting certain motorsports racing team events </w:t>
            </w:r>
            <w:r>
              <w:t>from the definition of "</w:t>
            </w:r>
            <w:r>
              <w:t>professional sports team</w:t>
            </w:r>
            <w:r>
              <w:t>"</w:t>
            </w:r>
            <w:r>
              <w:t xml:space="preserve"> for purposes of the </w:t>
            </w:r>
            <w:r w:rsidRPr="00A47F91">
              <w:t>Professional Sports Team Charitable Foundation Raffle Enabling Act</w:t>
            </w:r>
            <w:r>
              <w:t xml:space="preserve">. </w:t>
            </w:r>
            <w:r>
              <w:t>C.S.</w:t>
            </w:r>
            <w:r>
              <w:t>H.B. 3125 seeks to establish tha</w:t>
            </w:r>
            <w:r>
              <w:t xml:space="preserve">t </w:t>
            </w:r>
            <w:r>
              <w:t xml:space="preserve">such </w:t>
            </w:r>
            <w:r>
              <w:t>an entity</w:t>
            </w:r>
            <w:r>
              <w:t xml:space="preserve"> </w:t>
            </w:r>
            <w:r>
              <w:t>is</w:t>
            </w:r>
            <w:r>
              <w:t xml:space="preserve"> considered a professional sports team for </w:t>
            </w:r>
            <w:r>
              <w:t>those</w:t>
            </w:r>
            <w:r>
              <w:t xml:space="preserve"> purposes.</w:t>
            </w:r>
          </w:p>
          <w:p w:rsidR="008423E4" w:rsidRPr="00E26B13" w:rsidRDefault="00372131" w:rsidP="000334A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BD36D1" w:rsidTr="00073631">
        <w:tc>
          <w:tcPr>
            <w:tcW w:w="9582" w:type="dxa"/>
          </w:tcPr>
          <w:p w:rsidR="0017725B" w:rsidRDefault="00372131" w:rsidP="000334A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72131" w:rsidP="000334AF">
            <w:pPr>
              <w:rPr>
                <w:b/>
                <w:u w:val="single"/>
              </w:rPr>
            </w:pPr>
          </w:p>
          <w:p w:rsidR="00A47F91" w:rsidRPr="00A47F91" w:rsidRDefault="00372131" w:rsidP="000334AF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</w:t>
            </w:r>
            <w:r>
              <w:t>category of offenses, or change the eligibility of a person for community supervision, parole, or mandatory supervision.</w:t>
            </w:r>
          </w:p>
          <w:p w:rsidR="0017725B" w:rsidRPr="0017725B" w:rsidRDefault="00372131" w:rsidP="000334AF">
            <w:pPr>
              <w:rPr>
                <w:b/>
                <w:u w:val="single"/>
              </w:rPr>
            </w:pPr>
          </w:p>
        </w:tc>
      </w:tr>
      <w:tr w:rsidR="00BD36D1" w:rsidTr="00073631">
        <w:tc>
          <w:tcPr>
            <w:tcW w:w="9582" w:type="dxa"/>
          </w:tcPr>
          <w:p w:rsidR="008423E4" w:rsidRPr="00A8133F" w:rsidRDefault="00372131" w:rsidP="000334A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72131" w:rsidP="000334AF"/>
          <w:p w:rsidR="00A47F91" w:rsidRDefault="00372131" w:rsidP="000334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</w:t>
            </w:r>
            <w:r>
              <w:t xml:space="preserve"> state officer, department, agency, or institution.</w:t>
            </w:r>
          </w:p>
          <w:p w:rsidR="008423E4" w:rsidRPr="00E21FDC" w:rsidRDefault="00372131" w:rsidP="000334AF">
            <w:pPr>
              <w:rPr>
                <w:b/>
              </w:rPr>
            </w:pPr>
          </w:p>
        </w:tc>
      </w:tr>
      <w:tr w:rsidR="00BD36D1" w:rsidTr="00073631">
        <w:tc>
          <w:tcPr>
            <w:tcW w:w="9582" w:type="dxa"/>
          </w:tcPr>
          <w:p w:rsidR="008423E4" w:rsidRPr="00A8133F" w:rsidRDefault="00372131" w:rsidP="000334A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72131" w:rsidP="000334AF"/>
          <w:p w:rsidR="008423E4" w:rsidRDefault="00372131" w:rsidP="000334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</w:t>
            </w:r>
            <w:r>
              <w:t>3125</w:t>
            </w:r>
            <w:r>
              <w:t xml:space="preserve"> amends the Occupations Code to </w:t>
            </w:r>
            <w:r>
              <w:t>include among the teams considered a</w:t>
            </w:r>
            <w:r>
              <w:t xml:space="preserve"> professional sports team for purposes of the </w:t>
            </w:r>
            <w:r w:rsidRPr="00A47F91">
              <w:t xml:space="preserve">Professional Sports Team Charitable Foundation Raffle Enabling </w:t>
            </w:r>
            <w:r w:rsidRPr="00A47F91">
              <w:t>Act</w:t>
            </w:r>
            <w:r>
              <w:t xml:space="preserve"> </w:t>
            </w:r>
            <w:r>
              <w:t xml:space="preserve">a team organized in Texas that is a member of </w:t>
            </w:r>
            <w:r w:rsidRPr="0019591A">
              <w:t>the American Hockey League, the East Coast Hockey League, the American Association of Independent Professional Baseball,</w:t>
            </w:r>
            <w:r>
              <w:t xml:space="preserve"> the Atlantic League of Professional Baseball,</w:t>
            </w:r>
            <w:r w:rsidRPr="0019591A">
              <w:t xml:space="preserve"> Minor League Baseball, the National Bas</w:t>
            </w:r>
            <w:r w:rsidRPr="0019591A">
              <w:t>ketball Association Development League, the National Women's Soccer League, the Major Arena Socc</w:t>
            </w:r>
            <w:r>
              <w:t xml:space="preserve">er League, </w:t>
            </w:r>
            <w:r w:rsidRPr="0019591A">
              <w:t>the United Soccer League</w:t>
            </w:r>
            <w:r>
              <w:t xml:space="preserve">, </w:t>
            </w:r>
            <w:r>
              <w:t xml:space="preserve">or </w:t>
            </w:r>
            <w:r>
              <w:t>the Women's National Basketball Association</w:t>
            </w:r>
            <w:r>
              <w:t>.</w:t>
            </w:r>
            <w:r>
              <w:t xml:space="preserve"> </w:t>
            </w:r>
            <w:r>
              <w:t xml:space="preserve">The bill considers </w:t>
            </w:r>
            <w:r>
              <w:t xml:space="preserve">as </w:t>
            </w:r>
            <w:r>
              <w:t>a professional sports team</w:t>
            </w:r>
            <w:r>
              <w:t xml:space="preserve"> for those purposes</w:t>
            </w:r>
            <w:r>
              <w:t xml:space="preserve"> a perso</w:t>
            </w:r>
            <w:r>
              <w:t xml:space="preserve">n hosting a motorsports racing team event sanctioned by </w:t>
            </w:r>
            <w:r w:rsidRPr="00AA314E">
              <w:t xml:space="preserve">National Association for Stock Car Auto Racing </w:t>
            </w:r>
            <w:r>
              <w:t>(</w:t>
            </w:r>
            <w:r>
              <w:t>NASCAR</w:t>
            </w:r>
            <w:r>
              <w:t>)</w:t>
            </w:r>
            <w:r>
              <w:t>, INDYCar, or another nationally recognized motorsports racing association at a venue in Texas with a permanent seating capacity of not less than</w:t>
            </w:r>
            <w:r>
              <w:t xml:space="preserve"> 75,000</w:t>
            </w:r>
            <w:r w:rsidRPr="0019591A">
              <w:t>.</w:t>
            </w:r>
            <w:r>
              <w:t xml:space="preserve"> The bill </w:t>
            </w:r>
            <w:r>
              <w:t>revises the conduct constituting</w:t>
            </w:r>
            <w:r>
              <w:t xml:space="preserve"> an offense </w:t>
            </w:r>
            <w:r>
              <w:t>for a</w:t>
            </w:r>
            <w:r>
              <w:t xml:space="preserve"> person </w:t>
            </w:r>
            <w:r>
              <w:t xml:space="preserve">who </w:t>
            </w:r>
            <w:r>
              <w:t xml:space="preserve">accepts any form of payment other than U.S. currency </w:t>
            </w:r>
            <w:r w:rsidRPr="00843533">
              <w:t>for the purchase of a raffle ticket for a charitable raffle conducted under</w:t>
            </w:r>
            <w:r>
              <w:t xml:space="preserve"> the act</w:t>
            </w:r>
            <w:r>
              <w:t xml:space="preserve"> by including a debit</w:t>
            </w:r>
            <w:r>
              <w:t xml:space="preserve"> card as an accepted form of payment</w:t>
            </w:r>
            <w:r>
              <w:t>.</w:t>
            </w:r>
          </w:p>
          <w:p w:rsidR="008423E4" w:rsidRPr="00835628" w:rsidRDefault="00372131" w:rsidP="000334AF">
            <w:pPr>
              <w:rPr>
                <w:b/>
              </w:rPr>
            </w:pPr>
          </w:p>
        </w:tc>
      </w:tr>
      <w:tr w:rsidR="00BD36D1" w:rsidTr="00073631">
        <w:tc>
          <w:tcPr>
            <w:tcW w:w="9582" w:type="dxa"/>
          </w:tcPr>
          <w:p w:rsidR="008423E4" w:rsidRPr="00A8133F" w:rsidRDefault="00372131" w:rsidP="000334A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72131" w:rsidP="000334AF"/>
          <w:p w:rsidR="008423E4" w:rsidRPr="003624F2" w:rsidRDefault="00372131" w:rsidP="000334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December 1, 2017, if the constitutional amendment </w:t>
            </w:r>
            <w:r>
              <w:t xml:space="preserve">to authorize </w:t>
            </w:r>
            <w:r w:rsidRPr="00F0110C">
              <w:t>additional professional sports team charitable foundations to conduct charitable raffles at additional venues</w:t>
            </w:r>
            <w:r>
              <w:t xml:space="preserve"> is approved by the voters.</w:t>
            </w:r>
          </w:p>
          <w:p w:rsidR="008423E4" w:rsidRPr="00233FDB" w:rsidRDefault="00372131" w:rsidP="000334AF">
            <w:pPr>
              <w:rPr>
                <w:b/>
              </w:rPr>
            </w:pPr>
          </w:p>
        </w:tc>
      </w:tr>
      <w:tr w:rsidR="00BD36D1" w:rsidTr="00073631">
        <w:tc>
          <w:tcPr>
            <w:tcW w:w="9582" w:type="dxa"/>
          </w:tcPr>
          <w:p w:rsidR="00073631" w:rsidRDefault="00372131" w:rsidP="000334A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3E0EF4" w:rsidRDefault="00372131" w:rsidP="000334AF">
            <w:pPr>
              <w:jc w:val="both"/>
            </w:pPr>
          </w:p>
          <w:p w:rsidR="003E0EF4" w:rsidRDefault="00372131" w:rsidP="000334AF">
            <w:pPr>
              <w:jc w:val="both"/>
            </w:pPr>
            <w:r>
              <w:t xml:space="preserve">While C.S.H.B. 3125 may differ from the original in minor or nonsubstantive ways, the </w:t>
            </w:r>
            <w:r>
              <w:lastRenderedPageBreak/>
              <w:t>following comparison is organized and formatted in a manner that indicates the substantial differences between the introduced an</w:t>
            </w:r>
            <w:r>
              <w:t>d committee substitute versions of the bill.</w:t>
            </w:r>
          </w:p>
          <w:p w:rsidR="003E0EF4" w:rsidRPr="00984ECC" w:rsidRDefault="00372131" w:rsidP="000334AF">
            <w:pPr>
              <w:jc w:val="both"/>
            </w:pPr>
          </w:p>
        </w:tc>
      </w:tr>
      <w:tr w:rsidR="00BD36D1" w:rsidTr="00073631">
        <w:tc>
          <w:tcPr>
            <w:tcW w:w="9582" w:type="dxa"/>
          </w:tcPr>
          <w:tbl>
            <w:tblPr>
              <w:tblW w:w="9357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  <w:gridCol w:w="11"/>
            </w:tblGrid>
            <w:tr w:rsidR="00BD36D1" w:rsidTr="00984ECC">
              <w:trPr>
                <w:gridAfter w:val="1"/>
                <w:wAfter w:w="11" w:type="dxa"/>
                <w:tblHeader/>
              </w:trPr>
              <w:tc>
                <w:tcPr>
                  <w:tcW w:w="4680" w:type="dxa"/>
                  <w:tcMar>
                    <w:bottom w:w="188" w:type="dxa"/>
                  </w:tcMar>
                </w:tcPr>
                <w:p w:rsidR="00073631" w:rsidRDefault="00372131" w:rsidP="000334AF">
                  <w:pPr>
                    <w:jc w:val="center"/>
                  </w:pPr>
                  <w:r>
                    <w:lastRenderedPageBreak/>
                    <w:t>INTRODUCED</w:t>
                  </w:r>
                </w:p>
              </w:tc>
              <w:tc>
                <w:tcPr>
                  <w:tcW w:w="4680" w:type="dxa"/>
                  <w:tcMar>
                    <w:bottom w:w="188" w:type="dxa"/>
                  </w:tcMar>
                </w:tcPr>
                <w:p w:rsidR="00073631" w:rsidRDefault="00372131" w:rsidP="000334AF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BD36D1" w:rsidTr="00984ECC">
              <w:tc>
                <w:tcPr>
                  <w:tcW w:w="4680" w:type="dxa"/>
                  <w:tcMar>
                    <w:right w:w="360" w:type="dxa"/>
                  </w:tcMar>
                </w:tcPr>
                <w:p w:rsidR="00073631" w:rsidRDefault="00372131" w:rsidP="000334AF">
                  <w:pPr>
                    <w:jc w:val="both"/>
                  </w:pPr>
                  <w:r>
                    <w:t>SECTION 1.  Section 2004.002(2), Occupations Code, is amended to read as follows:</w:t>
                  </w:r>
                </w:p>
                <w:p w:rsidR="00FF681A" w:rsidRDefault="00372131" w:rsidP="000334AF">
                  <w:pPr>
                    <w:jc w:val="both"/>
                  </w:pPr>
                </w:p>
                <w:p w:rsidR="00FF681A" w:rsidRDefault="00372131" w:rsidP="000334AF">
                  <w:pPr>
                    <w:jc w:val="both"/>
                  </w:pPr>
                </w:p>
                <w:p w:rsidR="00FF681A" w:rsidRDefault="00372131" w:rsidP="000334AF">
                  <w:pPr>
                    <w:jc w:val="both"/>
                  </w:pPr>
                </w:p>
                <w:p w:rsidR="00FF681A" w:rsidRDefault="00372131" w:rsidP="000334AF">
                  <w:pPr>
                    <w:jc w:val="both"/>
                  </w:pPr>
                  <w:r>
                    <w:t>(2)  "Professional sports team" means</w:t>
                  </w:r>
                </w:p>
                <w:p w:rsidR="00073631" w:rsidRDefault="00372131" w:rsidP="000334AF">
                  <w:pPr>
                    <w:jc w:val="both"/>
                  </w:pPr>
                  <w:r>
                    <w:t xml:space="preserve"> a team organized in this state that is a member of Major League Baseball, the National Basketball Association, the National Hockey League, the National Football League, [</w:t>
                  </w:r>
                  <w:r>
                    <w:rPr>
                      <w:strike/>
                    </w:rPr>
                    <w:t>or</w:t>
                  </w:r>
                  <w:r>
                    <w:t>] Major League Soccer</w:t>
                  </w:r>
                  <w:r>
                    <w:rPr>
                      <w:u w:val="single"/>
                    </w:rPr>
                    <w:t>, the American Hockey League, the East Coast Hockey League, th</w:t>
                  </w:r>
                  <w:r>
                    <w:rPr>
                      <w:u w:val="single"/>
                    </w:rPr>
                    <w:t>e American Association of Independent Professional Baseball, Minor League Baseball, the National Basketball Association Development League, the National Women's Soccer League, the Major Arena Soccer League, or the United Soccer League</w:t>
                  </w:r>
                  <w:r>
                    <w:t>.</w:t>
                  </w:r>
                </w:p>
                <w:p w:rsidR="00073631" w:rsidRDefault="00372131" w:rsidP="000334AF">
                  <w:pPr>
                    <w:jc w:val="both"/>
                  </w:pPr>
                </w:p>
              </w:tc>
              <w:tc>
                <w:tcPr>
                  <w:tcW w:w="4680" w:type="dxa"/>
                  <w:gridSpan w:val="2"/>
                  <w:tcMar>
                    <w:left w:w="360" w:type="dxa"/>
                  </w:tcMar>
                </w:tcPr>
                <w:p w:rsidR="00073631" w:rsidRDefault="00372131" w:rsidP="000334AF">
                  <w:pPr>
                    <w:jc w:val="both"/>
                  </w:pPr>
                  <w:r>
                    <w:t>SECTION 1.  Section</w:t>
                  </w:r>
                  <w:r>
                    <w:t xml:space="preserve"> 2004.002, Occupations Code, is amended by adding Subdivision (1-a) and amending Subdivision (2) to read as follows:</w:t>
                  </w:r>
                </w:p>
                <w:p w:rsidR="00073631" w:rsidRDefault="00372131" w:rsidP="000334AF">
                  <w:pPr>
                    <w:jc w:val="both"/>
                  </w:pPr>
                  <w:r w:rsidRPr="00FF681A">
                    <w:rPr>
                      <w:highlight w:val="lightGray"/>
                      <w:u w:val="single"/>
                    </w:rPr>
                    <w:t>(1-a)  "Debit card" has the meaning assigned by Section 32.31, Penal Code.</w:t>
                  </w:r>
                </w:p>
                <w:p w:rsidR="00073631" w:rsidRDefault="00372131" w:rsidP="000334AF">
                  <w:pPr>
                    <w:jc w:val="both"/>
                  </w:pPr>
                  <w:r>
                    <w:t>(2)  "Professional sports team" means</w:t>
                  </w:r>
                  <w:r>
                    <w:rPr>
                      <w:u w:val="single"/>
                    </w:rPr>
                    <w:t>:</w:t>
                  </w:r>
                </w:p>
                <w:p w:rsidR="00073631" w:rsidRPr="00FF681A" w:rsidRDefault="00372131" w:rsidP="000334AF">
                  <w:pPr>
                    <w:jc w:val="both"/>
                    <w:rPr>
                      <w:highlight w:val="lightGray"/>
                    </w:rPr>
                  </w:pPr>
                  <w:r>
                    <w:rPr>
                      <w:u w:val="single"/>
                    </w:rPr>
                    <w:t>(A)</w:t>
                  </w:r>
                  <w:r>
                    <w:t xml:space="preserve">  a team organized in </w:t>
                  </w:r>
                  <w:r>
                    <w:t>this state that is a member of Major League Baseball, the National Basketball Association, the National Hockey League, the National Football League, [</w:t>
                  </w:r>
                  <w:r>
                    <w:rPr>
                      <w:strike/>
                    </w:rPr>
                    <w:t>or</w:t>
                  </w:r>
                  <w:r>
                    <w:t>] Major League Soccer</w:t>
                  </w:r>
                  <w:r>
                    <w:rPr>
                      <w:u w:val="single"/>
                    </w:rPr>
                    <w:t>, the American Hockey League, the East Coast Hockey League, the American Associatio</w:t>
                  </w:r>
                  <w:r>
                    <w:rPr>
                      <w:u w:val="single"/>
                    </w:rPr>
                    <w:t xml:space="preserve">n of Independent Professional Baseball, </w:t>
                  </w:r>
                  <w:r w:rsidRPr="00FF681A">
                    <w:rPr>
                      <w:highlight w:val="lightGray"/>
                      <w:u w:val="single"/>
                    </w:rPr>
                    <w:t>the Atlantic League of Professional Baseball,</w:t>
                  </w:r>
                  <w:r>
                    <w:rPr>
                      <w:u w:val="single"/>
                    </w:rPr>
                    <w:t xml:space="preserve"> Minor League Baseball, the National Basketball Association Development League, the National Women's Soccer League, the Major Arena Soccer League, the United Soccer League</w:t>
                  </w:r>
                  <w:r w:rsidRPr="00FF681A">
                    <w:rPr>
                      <w:highlight w:val="lightGray"/>
                      <w:u w:val="single"/>
                    </w:rPr>
                    <w:t>, or the Women's National Basketball Association; or</w:t>
                  </w:r>
                </w:p>
                <w:p w:rsidR="00073631" w:rsidRDefault="00372131" w:rsidP="000334AF">
                  <w:pPr>
                    <w:jc w:val="both"/>
                  </w:pPr>
                  <w:r w:rsidRPr="00FF681A">
                    <w:rPr>
                      <w:highlight w:val="lightGray"/>
                      <w:u w:val="single"/>
                    </w:rPr>
                    <w:t>(B)  a person hosting a motorsports racing team event sanctioned by the National Association for Stock Car Auto Racing (NASCAR), INDYCar, or another nationally recognized motorsports racing association a</w:t>
                  </w:r>
                  <w:r w:rsidRPr="00FF681A">
                    <w:rPr>
                      <w:highlight w:val="lightGray"/>
                      <w:u w:val="single"/>
                    </w:rPr>
                    <w:t>t a venue in this state with a permanent seating capacity of not less than 75,000</w:t>
                  </w:r>
                  <w:r w:rsidRPr="00FF681A">
                    <w:rPr>
                      <w:highlight w:val="lightGray"/>
                    </w:rPr>
                    <w:t>.</w:t>
                  </w:r>
                </w:p>
              </w:tc>
            </w:tr>
            <w:tr w:rsidR="00BD36D1" w:rsidTr="00984ECC">
              <w:tc>
                <w:tcPr>
                  <w:tcW w:w="4680" w:type="dxa"/>
                  <w:tcMar>
                    <w:right w:w="360" w:type="dxa"/>
                  </w:tcMar>
                </w:tcPr>
                <w:p w:rsidR="00073631" w:rsidRDefault="00372131" w:rsidP="000334AF">
                  <w:pPr>
                    <w:jc w:val="both"/>
                  </w:pPr>
                  <w:r w:rsidRPr="00FF681A">
                    <w:rPr>
                      <w:highlight w:val="lightGray"/>
                    </w:rPr>
                    <w:t>No equivalent provision.</w:t>
                  </w:r>
                </w:p>
                <w:p w:rsidR="00073631" w:rsidRDefault="00372131" w:rsidP="000334AF">
                  <w:pPr>
                    <w:jc w:val="both"/>
                  </w:pPr>
                </w:p>
              </w:tc>
              <w:tc>
                <w:tcPr>
                  <w:tcW w:w="4680" w:type="dxa"/>
                  <w:gridSpan w:val="2"/>
                  <w:tcMar>
                    <w:left w:w="360" w:type="dxa"/>
                  </w:tcMar>
                </w:tcPr>
                <w:p w:rsidR="00073631" w:rsidRDefault="00372131" w:rsidP="000334AF">
                  <w:pPr>
                    <w:jc w:val="both"/>
                  </w:pPr>
                  <w:r>
                    <w:t>SECTION 2.  Section 2004.009(a), Occupations Code, is amended to read as follows:</w:t>
                  </w:r>
                </w:p>
                <w:p w:rsidR="00073631" w:rsidRDefault="00372131" w:rsidP="000334AF">
                  <w:pPr>
                    <w:jc w:val="both"/>
                  </w:pPr>
                  <w:r>
                    <w:t xml:space="preserve">(a)  A person commits an offense if the person accepts any form of payment other than United States currency </w:t>
                  </w:r>
                  <w:r>
                    <w:rPr>
                      <w:u w:val="single"/>
                    </w:rPr>
                    <w:t>or a debit card</w:t>
                  </w:r>
                  <w:r>
                    <w:t xml:space="preserve"> for the purchase of a raffle ticket for a charitable raffle conducted under this chapter.</w:t>
                  </w:r>
                </w:p>
              </w:tc>
            </w:tr>
            <w:tr w:rsidR="00BD36D1" w:rsidTr="00984ECC">
              <w:tc>
                <w:tcPr>
                  <w:tcW w:w="4680" w:type="dxa"/>
                  <w:tcMar>
                    <w:right w:w="360" w:type="dxa"/>
                  </w:tcMar>
                </w:tcPr>
                <w:p w:rsidR="00073631" w:rsidRDefault="00372131" w:rsidP="000334AF">
                  <w:pPr>
                    <w:jc w:val="both"/>
                  </w:pPr>
                  <w:r>
                    <w:t xml:space="preserve">SECTION 2.  This Act takes effect </w:t>
                  </w:r>
                  <w:r w:rsidRPr="00C37880">
                    <w:rPr>
                      <w:highlight w:val="lightGray"/>
                    </w:rPr>
                    <w:t>Septem</w:t>
                  </w:r>
                  <w:r w:rsidRPr="00C37880">
                    <w:rPr>
                      <w:highlight w:val="lightGray"/>
                    </w:rPr>
                    <w:t>ber 1, 2017</w:t>
                  </w:r>
                  <w:r>
                    <w:t>.</w:t>
                  </w:r>
                </w:p>
                <w:p w:rsidR="00073631" w:rsidRDefault="00372131" w:rsidP="000334AF">
                  <w:pPr>
                    <w:jc w:val="both"/>
                  </w:pPr>
                </w:p>
              </w:tc>
              <w:tc>
                <w:tcPr>
                  <w:tcW w:w="4680" w:type="dxa"/>
                  <w:gridSpan w:val="2"/>
                  <w:tcMar>
                    <w:left w:w="360" w:type="dxa"/>
                  </w:tcMar>
                </w:tcPr>
                <w:p w:rsidR="00891F8E" w:rsidRDefault="00372131" w:rsidP="000334AF">
                  <w:pPr>
                    <w:jc w:val="both"/>
                  </w:pPr>
                  <w:r w:rsidRPr="00C37880">
                    <w:t xml:space="preserve">SECTION 3.  This Act takes effect </w:t>
                  </w:r>
                  <w:r w:rsidRPr="00145F26">
                    <w:rPr>
                      <w:highlight w:val="lightGray"/>
                    </w:rPr>
                    <w:t>on</w:t>
                  </w:r>
                  <w:r>
                    <w:t xml:space="preserve"> </w:t>
                  </w:r>
                  <w:r w:rsidRPr="00FF681A">
                    <w:rPr>
                      <w:highlight w:val="lightGray"/>
                    </w:rPr>
                    <w:t>December 1, 2017, but only if the constitutional amendment proposed by the 85th Legislature, Regular Session, 2017, to authorize additional professional sports team charitable foundations to conduct charit</w:t>
                  </w:r>
                  <w:r w:rsidRPr="00FF681A">
                    <w:rPr>
                      <w:highlight w:val="lightGray"/>
                    </w:rPr>
                    <w:t>able raffles at additional venues is approved by the voters. If that amendment is not approved by the voters, this Act has no effect.</w:t>
                  </w:r>
                </w:p>
              </w:tc>
            </w:tr>
          </w:tbl>
          <w:p w:rsidR="00073631" w:rsidRPr="009C1E9A" w:rsidRDefault="00372131" w:rsidP="000334AF">
            <w:pPr>
              <w:rPr>
                <w:b/>
                <w:u w:val="single"/>
              </w:rPr>
            </w:pPr>
          </w:p>
        </w:tc>
      </w:tr>
    </w:tbl>
    <w:p w:rsidR="004108C3" w:rsidRPr="008423E4" w:rsidRDefault="00372131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72131">
      <w:r>
        <w:separator/>
      </w:r>
    </w:p>
  </w:endnote>
  <w:endnote w:type="continuationSeparator" w:id="0">
    <w:p w:rsidR="00000000" w:rsidRDefault="0037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D36D1" w:rsidTr="009C1E9A">
      <w:trPr>
        <w:cantSplit/>
      </w:trPr>
      <w:tc>
        <w:tcPr>
          <w:tcW w:w="0" w:type="pct"/>
        </w:tcPr>
        <w:p w:rsidR="00137D90" w:rsidRDefault="0037213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A4310" w:rsidRDefault="0037213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891F8E" w:rsidRDefault="0037213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7213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7213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D36D1" w:rsidTr="009C1E9A">
      <w:trPr>
        <w:cantSplit/>
      </w:trPr>
      <w:tc>
        <w:tcPr>
          <w:tcW w:w="0" w:type="pct"/>
        </w:tcPr>
        <w:p w:rsidR="00EC379B" w:rsidRDefault="0037213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7213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23035</w:t>
          </w:r>
        </w:p>
      </w:tc>
      <w:tc>
        <w:tcPr>
          <w:tcW w:w="2453" w:type="pct"/>
        </w:tcPr>
        <w:p w:rsidR="00EC379B" w:rsidRDefault="0037213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17.101.637</w:t>
          </w:r>
          <w:r>
            <w:fldChar w:fldCharType="end"/>
          </w:r>
        </w:p>
      </w:tc>
    </w:tr>
    <w:tr w:rsidR="00BD36D1" w:rsidTr="009C1E9A">
      <w:trPr>
        <w:cantSplit/>
      </w:trPr>
      <w:tc>
        <w:tcPr>
          <w:tcW w:w="0" w:type="pct"/>
        </w:tcPr>
        <w:p w:rsidR="00EC379B" w:rsidRDefault="0037213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7213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21462</w:t>
          </w:r>
        </w:p>
      </w:tc>
      <w:tc>
        <w:tcPr>
          <w:tcW w:w="2453" w:type="pct"/>
        </w:tcPr>
        <w:p w:rsidR="00EC379B" w:rsidRDefault="00372131" w:rsidP="006D504F">
          <w:pPr>
            <w:pStyle w:val="Footer"/>
            <w:rPr>
              <w:rStyle w:val="PageNumber"/>
            </w:rPr>
          </w:pPr>
        </w:p>
        <w:p w:rsidR="00EC379B" w:rsidRDefault="0037213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D36D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7213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7213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7213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72131">
      <w:r>
        <w:separator/>
      </w:r>
    </w:p>
  </w:footnote>
  <w:footnote w:type="continuationSeparator" w:id="0">
    <w:p w:rsidR="00000000" w:rsidRDefault="00372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D1"/>
    <w:rsid w:val="00372131"/>
    <w:rsid w:val="00BD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47F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7F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47F91"/>
  </w:style>
  <w:style w:type="paragraph" w:styleId="CommentSubject">
    <w:name w:val="annotation subject"/>
    <w:basedOn w:val="CommentText"/>
    <w:next w:val="CommentText"/>
    <w:link w:val="CommentSubjectChar"/>
    <w:rsid w:val="00A47F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47F91"/>
    <w:rPr>
      <w:b/>
      <w:bCs/>
    </w:rPr>
  </w:style>
  <w:style w:type="paragraph" w:styleId="Revision">
    <w:name w:val="Revision"/>
    <w:hidden/>
    <w:uiPriority w:val="99"/>
    <w:semiHidden/>
    <w:rsid w:val="002655F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47F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7F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47F91"/>
  </w:style>
  <w:style w:type="paragraph" w:styleId="CommentSubject">
    <w:name w:val="annotation subject"/>
    <w:basedOn w:val="CommentText"/>
    <w:next w:val="CommentText"/>
    <w:link w:val="CommentSubjectChar"/>
    <w:rsid w:val="00A47F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47F91"/>
    <w:rPr>
      <w:b/>
      <w:bCs/>
    </w:rPr>
  </w:style>
  <w:style w:type="paragraph" w:styleId="Revision">
    <w:name w:val="Revision"/>
    <w:hidden/>
    <w:uiPriority w:val="99"/>
    <w:semiHidden/>
    <w:rsid w:val="002655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786</Words>
  <Characters>4537</Characters>
  <Application>Microsoft Office Word</Application>
  <DocSecurity>4</DocSecurity>
  <Lines>139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HB03125 (Committee Report (Substituted))</vt:lpstr>
    </vt:vector>
  </TitlesOfParts>
  <Company>State of Texas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23035</dc:subject>
  <dc:creator>State of Texas</dc:creator>
  <dc:description>HB 3125 by Kuempel-(H)Licensing &amp; Administrative Procedures (Substitute Document Number: 85R 21462)</dc:description>
  <cp:lastModifiedBy>Brianna Weis</cp:lastModifiedBy>
  <cp:revision>2</cp:revision>
  <cp:lastPrinted>2017-04-11T21:18:00Z</cp:lastPrinted>
  <dcterms:created xsi:type="dcterms:W3CDTF">2017-04-18T14:54:00Z</dcterms:created>
  <dcterms:modified xsi:type="dcterms:W3CDTF">2017-04-18T14:54:00Z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17.101.637</vt:lpwstr>
  </property>
</Properties>
</file>