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1957D9" w:rsidTr="00345119">
        <w:tc>
          <w:tcPr>
            <w:tcW w:w="9576" w:type="dxa"/>
            <w:noWrap/>
          </w:tcPr>
          <w:p w:rsidR="008423E4" w:rsidRPr="0022177D" w:rsidRDefault="0096274B" w:rsidP="00345119">
            <w:pPr>
              <w:pStyle w:val="Heading1"/>
            </w:pPr>
            <w:bookmarkStart w:id="0" w:name="_GoBack"/>
            <w:bookmarkEnd w:id="0"/>
            <w:r w:rsidRPr="00631897">
              <w:t>BILL ANALYSIS</w:t>
            </w:r>
          </w:p>
        </w:tc>
      </w:tr>
    </w:tbl>
    <w:p w:rsidR="008423E4" w:rsidRPr="0022177D" w:rsidRDefault="0096274B" w:rsidP="008423E4">
      <w:pPr>
        <w:jc w:val="center"/>
      </w:pPr>
    </w:p>
    <w:p w:rsidR="008423E4" w:rsidRPr="00B31F0E" w:rsidRDefault="0096274B" w:rsidP="008423E4"/>
    <w:p w:rsidR="008423E4" w:rsidRPr="00742794" w:rsidRDefault="0096274B" w:rsidP="008423E4">
      <w:pPr>
        <w:tabs>
          <w:tab w:val="right" w:pos="9360"/>
        </w:tabs>
      </w:pPr>
    </w:p>
    <w:tbl>
      <w:tblPr>
        <w:tblW w:w="0" w:type="auto"/>
        <w:tblLayout w:type="fixed"/>
        <w:tblLook w:val="01E0" w:firstRow="1" w:lastRow="1" w:firstColumn="1" w:lastColumn="1" w:noHBand="0" w:noVBand="0"/>
      </w:tblPr>
      <w:tblGrid>
        <w:gridCol w:w="9576"/>
      </w:tblGrid>
      <w:tr w:rsidR="001957D9" w:rsidTr="00345119">
        <w:tc>
          <w:tcPr>
            <w:tcW w:w="9576" w:type="dxa"/>
          </w:tcPr>
          <w:p w:rsidR="008423E4" w:rsidRPr="00861995" w:rsidRDefault="0096274B" w:rsidP="00345119">
            <w:pPr>
              <w:jc w:val="right"/>
            </w:pPr>
            <w:r>
              <w:t>H.B. 3240</w:t>
            </w:r>
          </w:p>
        </w:tc>
      </w:tr>
      <w:tr w:rsidR="001957D9" w:rsidTr="00345119">
        <w:tc>
          <w:tcPr>
            <w:tcW w:w="9576" w:type="dxa"/>
          </w:tcPr>
          <w:p w:rsidR="008423E4" w:rsidRPr="00861995" w:rsidRDefault="0096274B" w:rsidP="00A34139">
            <w:pPr>
              <w:jc w:val="right"/>
            </w:pPr>
            <w:r>
              <w:t xml:space="preserve">By: </w:t>
            </w:r>
            <w:r>
              <w:t>Springer</w:t>
            </w:r>
          </w:p>
        </w:tc>
      </w:tr>
      <w:tr w:rsidR="001957D9" w:rsidTr="00345119">
        <w:tc>
          <w:tcPr>
            <w:tcW w:w="9576" w:type="dxa"/>
          </w:tcPr>
          <w:p w:rsidR="008423E4" w:rsidRPr="00861995" w:rsidRDefault="0096274B" w:rsidP="00345119">
            <w:pPr>
              <w:jc w:val="right"/>
            </w:pPr>
            <w:r>
              <w:t>Judiciary &amp; Civil Jurisprudence</w:t>
            </w:r>
          </w:p>
        </w:tc>
      </w:tr>
      <w:tr w:rsidR="001957D9" w:rsidTr="00345119">
        <w:tc>
          <w:tcPr>
            <w:tcW w:w="9576" w:type="dxa"/>
          </w:tcPr>
          <w:p w:rsidR="008423E4" w:rsidRDefault="0096274B" w:rsidP="00345119">
            <w:pPr>
              <w:jc w:val="right"/>
            </w:pPr>
            <w:r>
              <w:t>Committee Report (Unamended)</w:t>
            </w:r>
          </w:p>
        </w:tc>
      </w:tr>
    </w:tbl>
    <w:p w:rsidR="008423E4" w:rsidRDefault="0096274B" w:rsidP="008423E4">
      <w:pPr>
        <w:tabs>
          <w:tab w:val="right" w:pos="9360"/>
        </w:tabs>
      </w:pPr>
    </w:p>
    <w:p w:rsidR="008423E4" w:rsidRDefault="0096274B" w:rsidP="008423E4"/>
    <w:p w:rsidR="008423E4" w:rsidRDefault="0096274B" w:rsidP="008423E4"/>
    <w:tbl>
      <w:tblPr>
        <w:tblW w:w="0" w:type="auto"/>
        <w:tblCellMar>
          <w:left w:w="115" w:type="dxa"/>
          <w:right w:w="115" w:type="dxa"/>
        </w:tblCellMar>
        <w:tblLook w:val="01E0" w:firstRow="1" w:lastRow="1" w:firstColumn="1" w:lastColumn="1" w:noHBand="0" w:noVBand="0"/>
      </w:tblPr>
      <w:tblGrid>
        <w:gridCol w:w="9576"/>
      </w:tblGrid>
      <w:tr w:rsidR="001957D9" w:rsidTr="00345119">
        <w:tc>
          <w:tcPr>
            <w:tcW w:w="9576" w:type="dxa"/>
          </w:tcPr>
          <w:p w:rsidR="008423E4" w:rsidRPr="00A8133F" w:rsidRDefault="0096274B" w:rsidP="000C5FA6">
            <w:pPr>
              <w:rPr>
                <w:b/>
              </w:rPr>
            </w:pPr>
            <w:r w:rsidRPr="009C1E9A">
              <w:rPr>
                <w:b/>
                <w:u w:val="single"/>
              </w:rPr>
              <w:t>BACKGROUND AND PURPOSE</w:t>
            </w:r>
            <w:r>
              <w:rPr>
                <w:b/>
              </w:rPr>
              <w:t xml:space="preserve"> </w:t>
            </w:r>
          </w:p>
          <w:p w:rsidR="008423E4" w:rsidRDefault="0096274B" w:rsidP="000C5FA6"/>
          <w:p w:rsidR="008423E4" w:rsidRDefault="0096274B" w:rsidP="000C5FA6">
            <w:pPr>
              <w:pStyle w:val="Header"/>
              <w:tabs>
                <w:tab w:val="clear" w:pos="4320"/>
                <w:tab w:val="clear" w:pos="8640"/>
              </w:tabs>
              <w:jc w:val="both"/>
            </w:pPr>
            <w:r>
              <w:t>Interested parties note that</w:t>
            </w:r>
            <w:r>
              <w:t xml:space="preserve"> during an emergency</w:t>
            </w:r>
            <w:r>
              <w:t xml:space="preserve"> a</w:t>
            </w:r>
            <w:r>
              <w:t xml:space="preserve"> gas utilit</w:t>
            </w:r>
            <w:r>
              <w:t>y may be</w:t>
            </w:r>
            <w:r>
              <w:t xml:space="preserve"> asked to assist </w:t>
            </w:r>
            <w:r>
              <w:t>other entities</w:t>
            </w:r>
            <w:r>
              <w:t xml:space="preserve"> with</w:t>
            </w:r>
            <w:r>
              <w:t xml:space="preserve"> the</w:t>
            </w:r>
            <w:r>
              <w:t xml:space="preserve"> restoration of </w:t>
            </w:r>
            <w:r>
              <w:t xml:space="preserve">gas </w:t>
            </w:r>
            <w:r>
              <w:t>services</w:t>
            </w:r>
            <w:r>
              <w:t>.</w:t>
            </w:r>
            <w:r>
              <w:t xml:space="preserve"> </w:t>
            </w:r>
            <w:r>
              <w:t xml:space="preserve">The parties have raised concerns that such a utility may be </w:t>
            </w:r>
            <w:r>
              <w:t>held liable for</w:t>
            </w:r>
            <w:r>
              <w:t xml:space="preserve"> </w:t>
            </w:r>
            <w:r>
              <w:t>certain unintended outcomes</w:t>
            </w:r>
            <w:r>
              <w:t xml:space="preserve"> relating to such assistance.</w:t>
            </w:r>
            <w:r>
              <w:t xml:space="preserve"> </w:t>
            </w:r>
            <w:r>
              <w:t>H.B. 3240 seeks to address this issue by providing for a certain exemption from liability for</w:t>
            </w:r>
            <w:r>
              <w:t xml:space="preserve"> a gas utility providing assistance to a governmental unit or institution of higher education</w:t>
            </w:r>
            <w:r>
              <w:t xml:space="preserve"> in </w:t>
            </w:r>
            <w:r>
              <w:t xml:space="preserve">response to </w:t>
            </w:r>
            <w:r>
              <w:t>an emergency</w:t>
            </w:r>
            <w:r>
              <w:t>.</w:t>
            </w:r>
          </w:p>
          <w:p w:rsidR="0016013F" w:rsidRPr="00E26B13" w:rsidRDefault="0096274B" w:rsidP="000C5FA6">
            <w:pPr>
              <w:pStyle w:val="Header"/>
              <w:tabs>
                <w:tab w:val="clear" w:pos="4320"/>
                <w:tab w:val="clear" w:pos="8640"/>
              </w:tabs>
              <w:jc w:val="both"/>
              <w:rPr>
                <w:b/>
              </w:rPr>
            </w:pPr>
          </w:p>
        </w:tc>
      </w:tr>
      <w:tr w:rsidR="001957D9" w:rsidTr="00345119">
        <w:tc>
          <w:tcPr>
            <w:tcW w:w="9576" w:type="dxa"/>
          </w:tcPr>
          <w:p w:rsidR="0062607E" w:rsidRDefault="0096274B" w:rsidP="000C5FA6">
            <w:pPr>
              <w:rPr>
                <w:b/>
                <w:u w:val="single"/>
              </w:rPr>
            </w:pPr>
          </w:p>
          <w:p w:rsidR="0017725B" w:rsidRDefault="0096274B" w:rsidP="000C5FA6">
            <w:pPr>
              <w:rPr>
                <w:b/>
                <w:u w:val="single"/>
              </w:rPr>
            </w:pPr>
            <w:r>
              <w:rPr>
                <w:b/>
                <w:u w:val="single"/>
              </w:rPr>
              <w:t>CRIMINAL JUSTICE IMPACT</w:t>
            </w:r>
          </w:p>
          <w:p w:rsidR="0017725B" w:rsidRDefault="0096274B" w:rsidP="000C5FA6">
            <w:pPr>
              <w:rPr>
                <w:b/>
                <w:u w:val="single"/>
              </w:rPr>
            </w:pPr>
          </w:p>
          <w:p w:rsidR="00BC7B99" w:rsidRPr="00BC7B99" w:rsidRDefault="0096274B" w:rsidP="000C5FA6">
            <w:pPr>
              <w:jc w:val="both"/>
            </w:pPr>
            <w:r>
              <w:t>It is the committee's opinion that this bill does not expressly create a criminal offense, increase the p</w:t>
            </w:r>
            <w:r>
              <w:t>unishment for an existing criminal offense or category of offenses, or change the eligibility of a person for community supervision, parole, or mandatory supervision.</w:t>
            </w:r>
          </w:p>
          <w:p w:rsidR="0017725B" w:rsidRPr="0017725B" w:rsidRDefault="0096274B" w:rsidP="000C5FA6">
            <w:pPr>
              <w:rPr>
                <w:b/>
                <w:u w:val="single"/>
              </w:rPr>
            </w:pPr>
          </w:p>
        </w:tc>
      </w:tr>
      <w:tr w:rsidR="001957D9" w:rsidTr="00345119">
        <w:tc>
          <w:tcPr>
            <w:tcW w:w="9576" w:type="dxa"/>
          </w:tcPr>
          <w:p w:rsidR="008423E4" w:rsidRPr="00A8133F" w:rsidRDefault="0096274B" w:rsidP="000C5FA6">
            <w:pPr>
              <w:rPr>
                <w:b/>
              </w:rPr>
            </w:pPr>
            <w:r w:rsidRPr="009C1E9A">
              <w:rPr>
                <w:b/>
                <w:u w:val="single"/>
              </w:rPr>
              <w:t>RULEMAKING AUTHORITY</w:t>
            </w:r>
            <w:r>
              <w:rPr>
                <w:b/>
              </w:rPr>
              <w:t xml:space="preserve"> </w:t>
            </w:r>
          </w:p>
          <w:p w:rsidR="008423E4" w:rsidRDefault="0096274B" w:rsidP="000C5FA6"/>
          <w:p w:rsidR="00BC7B99" w:rsidRDefault="0096274B" w:rsidP="000C5FA6">
            <w:pPr>
              <w:pStyle w:val="Header"/>
              <w:tabs>
                <w:tab w:val="clear" w:pos="4320"/>
                <w:tab w:val="clear" w:pos="8640"/>
              </w:tabs>
              <w:jc w:val="both"/>
            </w:pPr>
            <w:r>
              <w:t xml:space="preserve">It is the committee's opinion that this bill does not expressly </w:t>
            </w:r>
            <w:r>
              <w:t>grant any additional rulemaking authority to a state officer, department, agency, or institution.</w:t>
            </w:r>
          </w:p>
          <w:p w:rsidR="008423E4" w:rsidRPr="00E21FDC" w:rsidRDefault="0096274B" w:rsidP="000C5FA6">
            <w:pPr>
              <w:rPr>
                <w:b/>
              </w:rPr>
            </w:pPr>
          </w:p>
        </w:tc>
      </w:tr>
      <w:tr w:rsidR="001957D9" w:rsidTr="00345119">
        <w:tc>
          <w:tcPr>
            <w:tcW w:w="9576" w:type="dxa"/>
          </w:tcPr>
          <w:p w:rsidR="008423E4" w:rsidRPr="00A8133F" w:rsidRDefault="0096274B" w:rsidP="000C5FA6">
            <w:pPr>
              <w:rPr>
                <w:b/>
              </w:rPr>
            </w:pPr>
            <w:r w:rsidRPr="009C1E9A">
              <w:rPr>
                <w:b/>
                <w:u w:val="single"/>
              </w:rPr>
              <w:t>ANALYSIS</w:t>
            </w:r>
            <w:r>
              <w:rPr>
                <w:b/>
              </w:rPr>
              <w:t xml:space="preserve"> </w:t>
            </w:r>
          </w:p>
          <w:p w:rsidR="008423E4" w:rsidRDefault="0096274B" w:rsidP="000C5FA6"/>
          <w:p w:rsidR="008423E4" w:rsidRDefault="0096274B" w:rsidP="000C5FA6">
            <w:pPr>
              <w:pStyle w:val="Header"/>
              <w:tabs>
                <w:tab w:val="clear" w:pos="4320"/>
                <w:tab w:val="clear" w:pos="8640"/>
              </w:tabs>
              <w:jc w:val="both"/>
            </w:pPr>
            <w:r>
              <w:t xml:space="preserve">H.B. 3240 amends the Civil Practice and Remedies Code to </w:t>
            </w:r>
            <w:r>
              <w:t>exempt</w:t>
            </w:r>
            <w:r>
              <w:t xml:space="preserve"> a gas utility that </w:t>
            </w:r>
            <w:r w:rsidRPr="00BC7B99">
              <w:t xml:space="preserve">inspects, constructs, or repairs a gas pipeline owned or operated by a governmental unit or a </w:t>
            </w:r>
            <w:r>
              <w:t xml:space="preserve">public </w:t>
            </w:r>
            <w:r w:rsidRPr="00BC7B99">
              <w:t xml:space="preserve">institution of higher education </w:t>
            </w:r>
            <w:r>
              <w:t xml:space="preserve">from liability </w:t>
            </w:r>
            <w:r w:rsidRPr="00BC7B99">
              <w:t>to a claimant for personal injury, property damage, or death arising from the performance of the inspection,</w:t>
            </w:r>
            <w:r w:rsidRPr="00BC7B99">
              <w:t xml:space="preserve"> construction, or repair if, at the time of the injury, damage, or death, the gas utility was providing services or materials at the request of the governmental unit or institution of higher education in response to an emergency and the injury, damage, or </w:t>
            </w:r>
            <w:r w:rsidRPr="00BC7B99">
              <w:t>death was not caused by the gas utility's wilful misconduct.</w:t>
            </w:r>
            <w:r>
              <w:t xml:space="preserve">   </w:t>
            </w:r>
          </w:p>
          <w:p w:rsidR="008423E4" w:rsidRPr="00835628" w:rsidRDefault="0096274B" w:rsidP="000C5FA6">
            <w:pPr>
              <w:rPr>
                <w:b/>
              </w:rPr>
            </w:pPr>
          </w:p>
        </w:tc>
      </w:tr>
      <w:tr w:rsidR="001957D9" w:rsidTr="00345119">
        <w:tc>
          <w:tcPr>
            <w:tcW w:w="9576" w:type="dxa"/>
          </w:tcPr>
          <w:p w:rsidR="008423E4" w:rsidRPr="00A8133F" w:rsidRDefault="0096274B" w:rsidP="000C5FA6">
            <w:pPr>
              <w:rPr>
                <w:b/>
              </w:rPr>
            </w:pPr>
            <w:r w:rsidRPr="009C1E9A">
              <w:rPr>
                <w:b/>
                <w:u w:val="single"/>
              </w:rPr>
              <w:t>EFFECTIVE DATE</w:t>
            </w:r>
            <w:r>
              <w:rPr>
                <w:b/>
              </w:rPr>
              <w:t xml:space="preserve"> </w:t>
            </w:r>
          </w:p>
          <w:p w:rsidR="008423E4" w:rsidRDefault="0096274B" w:rsidP="000C5FA6"/>
          <w:p w:rsidR="008423E4" w:rsidRPr="003624F2" w:rsidRDefault="0096274B" w:rsidP="000C5FA6">
            <w:pPr>
              <w:pStyle w:val="Header"/>
              <w:tabs>
                <w:tab w:val="clear" w:pos="4320"/>
                <w:tab w:val="clear" w:pos="8640"/>
              </w:tabs>
              <w:jc w:val="both"/>
            </w:pPr>
            <w:r>
              <w:t>September 1, 2017.</w:t>
            </w:r>
          </w:p>
          <w:p w:rsidR="008423E4" w:rsidRPr="00233FDB" w:rsidRDefault="0096274B" w:rsidP="000C5FA6">
            <w:pPr>
              <w:rPr>
                <w:b/>
              </w:rPr>
            </w:pPr>
          </w:p>
        </w:tc>
      </w:tr>
    </w:tbl>
    <w:p w:rsidR="008423E4" w:rsidRPr="00BE0E75" w:rsidRDefault="0096274B" w:rsidP="008423E4">
      <w:pPr>
        <w:spacing w:line="480" w:lineRule="auto"/>
        <w:jc w:val="both"/>
        <w:rPr>
          <w:rFonts w:ascii="Arial" w:hAnsi="Arial"/>
          <w:sz w:val="16"/>
          <w:szCs w:val="16"/>
        </w:rPr>
      </w:pPr>
    </w:p>
    <w:p w:rsidR="004108C3" w:rsidRPr="008423E4" w:rsidRDefault="0096274B"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274B">
      <w:r>
        <w:separator/>
      </w:r>
    </w:p>
  </w:endnote>
  <w:endnote w:type="continuationSeparator" w:id="0">
    <w:p w:rsidR="00000000" w:rsidRDefault="0096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A0" w:rsidRDefault="00962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1957D9" w:rsidTr="009C1E9A">
      <w:trPr>
        <w:cantSplit/>
      </w:trPr>
      <w:tc>
        <w:tcPr>
          <w:tcW w:w="0" w:type="pct"/>
        </w:tcPr>
        <w:p w:rsidR="00137D90" w:rsidRDefault="0096274B" w:rsidP="009C1E9A">
          <w:pPr>
            <w:pStyle w:val="Footer"/>
            <w:tabs>
              <w:tab w:val="clear" w:pos="8640"/>
              <w:tab w:val="right" w:pos="9360"/>
            </w:tabs>
          </w:pPr>
        </w:p>
      </w:tc>
      <w:tc>
        <w:tcPr>
          <w:tcW w:w="2395" w:type="pct"/>
        </w:tcPr>
        <w:p w:rsidR="00137D90" w:rsidRDefault="0096274B" w:rsidP="009C1E9A">
          <w:pPr>
            <w:pStyle w:val="Footer"/>
            <w:tabs>
              <w:tab w:val="clear" w:pos="8640"/>
              <w:tab w:val="right" w:pos="9360"/>
            </w:tabs>
          </w:pPr>
        </w:p>
        <w:p w:rsidR="001A4310" w:rsidRDefault="0096274B" w:rsidP="009C1E9A">
          <w:pPr>
            <w:pStyle w:val="Footer"/>
            <w:tabs>
              <w:tab w:val="clear" w:pos="8640"/>
              <w:tab w:val="right" w:pos="9360"/>
            </w:tabs>
          </w:pPr>
        </w:p>
        <w:p w:rsidR="00137D90" w:rsidRDefault="0096274B" w:rsidP="009C1E9A">
          <w:pPr>
            <w:pStyle w:val="Footer"/>
            <w:tabs>
              <w:tab w:val="clear" w:pos="8640"/>
              <w:tab w:val="right" w:pos="9360"/>
            </w:tabs>
          </w:pPr>
        </w:p>
      </w:tc>
      <w:tc>
        <w:tcPr>
          <w:tcW w:w="2453" w:type="pct"/>
        </w:tcPr>
        <w:p w:rsidR="00137D90" w:rsidRDefault="0096274B" w:rsidP="009C1E9A">
          <w:pPr>
            <w:pStyle w:val="Footer"/>
            <w:tabs>
              <w:tab w:val="clear" w:pos="8640"/>
              <w:tab w:val="right" w:pos="9360"/>
            </w:tabs>
            <w:jc w:val="right"/>
          </w:pPr>
        </w:p>
      </w:tc>
    </w:tr>
    <w:tr w:rsidR="001957D9" w:rsidTr="009C1E9A">
      <w:trPr>
        <w:cantSplit/>
      </w:trPr>
      <w:tc>
        <w:tcPr>
          <w:tcW w:w="0" w:type="pct"/>
        </w:tcPr>
        <w:p w:rsidR="00EC379B" w:rsidRDefault="0096274B" w:rsidP="009C1E9A">
          <w:pPr>
            <w:pStyle w:val="Footer"/>
            <w:tabs>
              <w:tab w:val="clear" w:pos="8640"/>
              <w:tab w:val="right" w:pos="9360"/>
            </w:tabs>
          </w:pPr>
        </w:p>
      </w:tc>
      <w:tc>
        <w:tcPr>
          <w:tcW w:w="2395" w:type="pct"/>
        </w:tcPr>
        <w:p w:rsidR="00EC379B" w:rsidRPr="009C1E9A" w:rsidRDefault="0096274B" w:rsidP="009C1E9A">
          <w:pPr>
            <w:pStyle w:val="Footer"/>
            <w:tabs>
              <w:tab w:val="clear" w:pos="8640"/>
              <w:tab w:val="right" w:pos="9360"/>
            </w:tabs>
            <w:rPr>
              <w:rFonts w:ascii="Shruti" w:hAnsi="Shruti"/>
              <w:sz w:val="22"/>
            </w:rPr>
          </w:pPr>
          <w:r>
            <w:rPr>
              <w:rFonts w:ascii="Shruti" w:hAnsi="Shruti"/>
              <w:sz w:val="22"/>
            </w:rPr>
            <w:t>85R 25190</w:t>
          </w:r>
        </w:p>
      </w:tc>
      <w:tc>
        <w:tcPr>
          <w:tcW w:w="2453" w:type="pct"/>
        </w:tcPr>
        <w:p w:rsidR="00EC379B" w:rsidRDefault="0096274B" w:rsidP="009C1E9A">
          <w:pPr>
            <w:pStyle w:val="Footer"/>
            <w:tabs>
              <w:tab w:val="clear" w:pos="8640"/>
              <w:tab w:val="right" w:pos="9360"/>
            </w:tabs>
            <w:jc w:val="right"/>
          </w:pPr>
          <w:r>
            <w:fldChar w:fldCharType="begin"/>
          </w:r>
          <w:r>
            <w:instrText xml:space="preserve"> DOCPROPERTY  OTID  \* MERGEFORMAT </w:instrText>
          </w:r>
          <w:r>
            <w:fldChar w:fldCharType="separate"/>
          </w:r>
          <w:r>
            <w:t>17.113.290</w:t>
          </w:r>
          <w:r>
            <w:fldChar w:fldCharType="end"/>
          </w:r>
        </w:p>
      </w:tc>
    </w:tr>
    <w:tr w:rsidR="001957D9" w:rsidTr="009C1E9A">
      <w:trPr>
        <w:cantSplit/>
      </w:trPr>
      <w:tc>
        <w:tcPr>
          <w:tcW w:w="0" w:type="pct"/>
        </w:tcPr>
        <w:p w:rsidR="00EC379B" w:rsidRDefault="0096274B" w:rsidP="009C1E9A">
          <w:pPr>
            <w:pStyle w:val="Footer"/>
            <w:tabs>
              <w:tab w:val="clear" w:pos="4320"/>
              <w:tab w:val="clear" w:pos="8640"/>
              <w:tab w:val="left" w:pos="2865"/>
            </w:tabs>
          </w:pPr>
        </w:p>
      </w:tc>
      <w:tc>
        <w:tcPr>
          <w:tcW w:w="2395" w:type="pct"/>
        </w:tcPr>
        <w:p w:rsidR="00EC379B" w:rsidRPr="009C1E9A" w:rsidRDefault="0096274B" w:rsidP="009C1E9A">
          <w:pPr>
            <w:pStyle w:val="Footer"/>
            <w:tabs>
              <w:tab w:val="clear" w:pos="4320"/>
              <w:tab w:val="clear" w:pos="8640"/>
              <w:tab w:val="left" w:pos="2865"/>
            </w:tabs>
            <w:rPr>
              <w:rFonts w:ascii="Shruti" w:hAnsi="Shruti"/>
              <w:sz w:val="22"/>
            </w:rPr>
          </w:pPr>
        </w:p>
      </w:tc>
      <w:tc>
        <w:tcPr>
          <w:tcW w:w="2453" w:type="pct"/>
        </w:tcPr>
        <w:p w:rsidR="00EC379B" w:rsidRDefault="0096274B" w:rsidP="006D504F">
          <w:pPr>
            <w:pStyle w:val="Footer"/>
            <w:rPr>
              <w:rStyle w:val="PageNumber"/>
            </w:rPr>
          </w:pPr>
        </w:p>
        <w:p w:rsidR="00EC379B" w:rsidRDefault="0096274B" w:rsidP="009C1E9A">
          <w:pPr>
            <w:pStyle w:val="Footer"/>
            <w:tabs>
              <w:tab w:val="clear" w:pos="8640"/>
              <w:tab w:val="right" w:pos="9360"/>
            </w:tabs>
            <w:jc w:val="right"/>
          </w:pPr>
        </w:p>
      </w:tc>
    </w:tr>
    <w:tr w:rsidR="001957D9" w:rsidTr="009C1E9A">
      <w:trPr>
        <w:cantSplit/>
        <w:trHeight w:val="323"/>
      </w:trPr>
      <w:tc>
        <w:tcPr>
          <w:tcW w:w="0" w:type="pct"/>
          <w:gridSpan w:val="3"/>
        </w:tcPr>
        <w:p w:rsidR="00EC379B" w:rsidRDefault="0096274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96274B" w:rsidP="009C1E9A">
          <w:pPr>
            <w:pStyle w:val="Footer"/>
            <w:tabs>
              <w:tab w:val="clear" w:pos="8640"/>
              <w:tab w:val="right" w:pos="9360"/>
            </w:tabs>
            <w:jc w:val="center"/>
          </w:pPr>
        </w:p>
      </w:tc>
    </w:tr>
  </w:tbl>
  <w:p w:rsidR="00EC379B" w:rsidRPr="00FF6F72" w:rsidRDefault="0096274B"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A0" w:rsidRDefault="00962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274B">
      <w:r>
        <w:separator/>
      </w:r>
    </w:p>
  </w:footnote>
  <w:footnote w:type="continuationSeparator" w:id="0">
    <w:p w:rsidR="00000000" w:rsidRDefault="0096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A0" w:rsidRDefault="00962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A0" w:rsidRDefault="00962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A0" w:rsidRDefault="00962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D9"/>
    <w:rsid w:val="001957D9"/>
    <w:rsid w:val="0096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C7B99"/>
    <w:rPr>
      <w:sz w:val="16"/>
      <w:szCs w:val="16"/>
    </w:rPr>
  </w:style>
  <w:style w:type="paragraph" w:styleId="CommentText">
    <w:name w:val="annotation text"/>
    <w:basedOn w:val="Normal"/>
    <w:link w:val="CommentTextChar"/>
    <w:rsid w:val="00BC7B99"/>
    <w:rPr>
      <w:sz w:val="20"/>
      <w:szCs w:val="20"/>
    </w:rPr>
  </w:style>
  <w:style w:type="character" w:customStyle="1" w:styleId="CommentTextChar">
    <w:name w:val="Comment Text Char"/>
    <w:basedOn w:val="DefaultParagraphFont"/>
    <w:link w:val="CommentText"/>
    <w:rsid w:val="00BC7B99"/>
  </w:style>
  <w:style w:type="paragraph" w:styleId="CommentSubject">
    <w:name w:val="annotation subject"/>
    <w:basedOn w:val="CommentText"/>
    <w:next w:val="CommentText"/>
    <w:link w:val="CommentSubjectChar"/>
    <w:rsid w:val="00BC7B99"/>
    <w:rPr>
      <w:b/>
      <w:bCs/>
    </w:rPr>
  </w:style>
  <w:style w:type="character" w:customStyle="1" w:styleId="CommentSubjectChar">
    <w:name w:val="Comment Subject Char"/>
    <w:basedOn w:val="CommentTextChar"/>
    <w:link w:val="CommentSubject"/>
    <w:rsid w:val="00BC7B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C7B99"/>
    <w:rPr>
      <w:sz w:val="16"/>
      <w:szCs w:val="16"/>
    </w:rPr>
  </w:style>
  <w:style w:type="paragraph" w:styleId="CommentText">
    <w:name w:val="annotation text"/>
    <w:basedOn w:val="Normal"/>
    <w:link w:val="CommentTextChar"/>
    <w:rsid w:val="00BC7B99"/>
    <w:rPr>
      <w:sz w:val="20"/>
      <w:szCs w:val="20"/>
    </w:rPr>
  </w:style>
  <w:style w:type="character" w:customStyle="1" w:styleId="CommentTextChar">
    <w:name w:val="Comment Text Char"/>
    <w:basedOn w:val="DefaultParagraphFont"/>
    <w:link w:val="CommentText"/>
    <w:rsid w:val="00BC7B99"/>
  </w:style>
  <w:style w:type="paragraph" w:styleId="CommentSubject">
    <w:name w:val="annotation subject"/>
    <w:basedOn w:val="CommentText"/>
    <w:next w:val="CommentText"/>
    <w:link w:val="CommentSubjectChar"/>
    <w:rsid w:val="00BC7B99"/>
    <w:rPr>
      <w:b/>
      <w:bCs/>
    </w:rPr>
  </w:style>
  <w:style w:type="character" w:customStyle="1" w:styleId="CommentSubjectChar">
    <w:name w:val="Comment Subject Char"/>
    <w:basedOn w:val="CommentTextChar"/>
    <w:link w:val="CommentSubject"/>
    <w:rsid w:val="00BC7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1508</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HB03240 (Committee Report (Unamended))</vt:lpstr>
    </vt:vector>
  </TitlesOfParts>
  <Company>State of Texas</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25190</dc:subject>
  <dc:creator>State of Texas</dc:creator>
  <dc:description>HB 3240 by Springer-(H)Judiciary &amp; Civil Jurisprudence</dc:description>
  <cp:lastModifiedBy>Molly Hoffman-Bricker</cp:lastModifiedBy>
  <cp:revision>2</cp:revision>
  <cp:lastPrinted>2003-11-26T17:21:00Z</cp:lastPrinted>
  <dcterms:created xsi:type="dcterms:W3CDTF">2017-05-01T23:41:00Z</dcterms:created>
  <dcterms:modified xsi:type="dcterms:W3CDTF">2017-05-01T23:41:00Z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17.113.290</vt:lpwstr>
  </property>
</Properties>
</file>