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0555D" w:rsidTr="00345119">
        <w:tc>
          <w:tcPr>
            <w:tcW w:w="9576" w:type="dxa"/>
            <w:noWrap/>
          </w:tcPr>
          <w:p w:rsidR="008423E4" w:rsidRPr="0022177D" w:rsidRDefault="002210F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210F0" w:rsidP="008423E4">
      <w:pPr>
        <w:jc w:val="center"/>
      </w:pPr>
    </w:p>
    <w:p w:rsidR="008423E4" w:rsidRPr="00B31F0E" w:rsidRDefault="002210F0" w:rsidP="008423E4"/>
    <w:p w:rsidR="008423E4" w:rsidRPr="00742794" w:rsidRDefault="002210F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0555D" w:rsidTr="00345119">
        <w:tc>
          <w:tcPr>
            <w:tcW w:w="9576" w:type="dxa"/>
          </w:tcPr>
          <w:p w:rsidR="008423E4" w:rsidRPr="00861995" w:rsidRDefault="002210F0" w:rsidP="00345119">
            <w:pPr>
              <w:jc w:val="right"/>
            </w:pPr>
            <w:r>
              <w:t>H.B. 3257</w:t>
            </w:r>
          </w:p>
        </w:tc>
      </w:tr>
      <w:tr w:rsidR="00D0555D" w:rsidTr="00345119">
        <w:tc>
          <w:tcPr>
            <w:tcW w:w="9576" w:type="dxa"/>
          </w:tcPr>
          <w:p w:rsidR="008423E4" w:rsidRPr="00861995" w:rsidRDefault="002210F0" w:rsidP="001712AD">
            <w:pPr>
              <w:jc w:val="right"/>
            </w:pPr>
            <w:r>
              <w:t xml:space="preserve">By: </w:t>
            </w:r>
            <w:r>
              <w:t>Paddie</w:t>
            </w:r>
          </w:p>
        </w:tc>
      </w:tr>
      <w:tr w:rsidR="00D0555D" w:rsidTr="00345119">
        <w:tc>
          <w:tcPr>
            <w:tcW w:w="9576" w:type="dxa"/>
          </w:tcPr>
          <w:p w:rsidR="008423E4" w:rsidRPr="00861995" w:rsidRDefault="002210F0" w:rsidP="00345119">
            <w:pPr>
              <w:jc w:val="right"/>
            </w:pPr>
            <w:r>
              <w:t>Licensing &amp; Administrative Procedures</w:t>
            </w:r>
          </w:p>
        </w:tc>
      </w:tr>
      <w:tr w:rsidR="00D0555D" w:rsidTr="00345119">
        <w:tc>
          <w:tcPr>
            <w:tcW w:w="9576" w:type="dxa"/>
          </w:tcPr>
          <w:p w:rsidR="008423E4" w:rsidRDefault="002210F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210F0" w:rsidP="008423E4">
      <w:pPr>
        <w:tabs>
          <w:tab w:val="right" w:pos="9360"/>
        </w:tabs>
      </w:pPr>
    </w:p>
    <w:p w:rsidR="008423E4" w:rsidRDefault="002210F0" w:rsidP="008423E4"/>
    <w:p w:rsidR="008423E4" w:rsidRDefault="002210F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0555D" w:rsidTr="00345119">
        <w:tc>
          <w:tcPr>
            <w:tcW w:w="9576" w:type="dxa"/>
          </w:tcPr>
          <w:p w:rsidR="008423E4" w:rsidRPr="00A8133F" w:rsidRDefault="002210F0" w:rsidP="00690E7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210F0" w:rsidP="00690E79"/>
          <w:p w:rsidR="00D3322C" w:rsidRDefault="002210F0" w:rsidP="00690E79">
            <w:pPr>
              <w:pStyle w:val="Header"/>
              <w:jc w:val="both"/>
            </w:pPr>
            <w:r>
              <w:t xml:space="preserve">Interested parties contend that state law requiring a portable boiler to be inspected each time the boiler is moved </w:t>
            </w:r>
            <w:r>
              <w:t>to a new location is insufficient.</w:t>
            </w:r>
            <w:r>
              <w:t xml:space="preserve"> </w:t>
            </w:r>
            <w:r>
              <w:t xml:space="preserve">H.B. 3257 seeks to address this issue by </w:t>
            </w:r>
            <w:r>
              <w:t>requiring</w:t>
            </w:r>
            <w:r>
              <w:t xml:space="preserve"> the Texas Commission of Licensing and Regulation to adopt rules to provide for proper </w:t>
            </w:r>
            <w:r>
              <w:t xml:space="preserve">portable boiler </w:t>
            </w:r>
            <w:r>
              <w:t>inspection intervals</w:t>
            </w:r>
            <w:r>
              <w:t>.</w:t>
            </w:r>
          </w:p>
          <w:p w:rsidR="008423E4" w:rsidRPr="00E26B13" w:rsidRDefault="002210F0" w:rsidP="00690E79">
            <w:pPr>
              <w:pStyle w:val="Header"/>
              <w:jc w:val="both"/>
              <w:rPr>
                <w:b/>
              </w:rPr>
            </w:pPr>
          </w:p>
        </w:tc>
      </w:tr>
      <w:tr w:rsidR="00D0555D" w:rsidTr="00345119">
        <w:tc>
          <w:tcPr>
            <w:tcW w:w="9576" w:type="dxa"/>
          </w:tcPr>
          <w:p w:rsidR="0017725B" w:rsidRDefault="002210F0" w:rsidP="00690E7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210F0" w:rsidP="00690E79">
            <w:pPr>
              <w:rPr>
                <w:b/>
                <w:u w:val="single"/>
              </w:rPr>
            </w:pPr>
          </w:p>
          <w:p w:rsidR="00EF0371" w:rsidRPr="00EF0371" w:rsidRDefault="002210F0" w:rsidP="00690E79">
            <w:pPr>
              <w:jc w:val="both"/>
            </w:pPr>
            <w:r>
              <w:t>It is the committee</w:t>
            </w:r>
            <w:r>
              <w:t>'s 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2210F0" w:rsidP="00690E79">
            <w:pPr>
              <w:rPr>
                <w:b/>
                <w:u w:val="single"/>
              </w:rPr>
            </w:pPr>
          </w:p>
        </w:tc>
      </w:tr>
      <w:tr w:rsidR="00D0555D" w:rsidTr="00345119">
        <w:tc>
          <w:tcPr>
            <w:tcW w:w="9576" w:type="dxa"/>
          </w:tcPr>
          <w:p w:rsidR="008423E4" w:rsidRPr="00A8133F" w:rsidRDefault="002210F0" w:rsidP="00690E79">
            <w:pPr>
              <w:rPr>
                <w:b/>
              </w:rPr>
            </w:pPr>
            <w:r w:rsidRPr="009C1E9A">
              <w:rPr>
                <w:b/>
                <w:u w:val="single"/>
              </w:rPr>
              <w:t>R</w:t>
            </w:r>
            <w:r w:rsidRPr="009C1E9A">
              <w:rPr>
                <w:b/>
                <w:u w:val="single"/>
              </w:rPr>
              <w:t>ULEMAKING AUTHORITY</w:t>
            </w:r>
            <w:r>
              <w:rPr>
                <w:b/>
              </w:rPr>
              <w:t xml:space="preserve"> </w:t>
            </w:r>
          </w:p>
          <w:p w:rsidR="008423E4" w:rsidRDefault="002210F0" w:rsidP="00690E79"/>
          <w:p w:rsidR="00EF0371" w:rsidRDefault="002210F0" w:rsidP="00690E7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</w:t>
            </w:r>
            <w:r w:rsidRPr="00EF0371">
              <w:t>he Texas Commission of Licensing and Regulation</w:t>
            </w:r>
            <w:r>
              <w:t xml:space="preserve"> in </w:t>
            </w:r>
            <w:r>
              <w:t>SECTION 3</w:t>
            </w:r>
            <w:r>
              <w:t xml:space="preserve"> of this bill.</w:t>
            </w:r>
          </w:p>
          <w:p w:rsidR="008423E4" w:rsidRPr="00E21FDC" w:rsidRDefault="002210F0" w:rsidP="00690E79">
            <w:pPr>
              <w:rPr>
                <w:b/>
              </w:rPr>
            </w:pPr>
          </w:p>
        </w:tc>
      </w:tr>
      <w:tr w:rsidR="00D0555D" w:rsidTr="00345119">
        <w:tc>
          <w:tcPr>
            <w:tcW w:w="9576" w:type="dxa"/>
          </w:tcPr>
          <w:p w:rsidR="008423E4" w:rsidRPr="00A8133F" w:rsidRDefault="002210F0" w:rsidP="00690E7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210F0" w:rsidP="00690E79"/>
          <w:p w:rsidR="008423E4" w:rsidRDefault="002210F0" w:rsidP="00690E7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3257 amends the Health and Safety Code to exempt espresso </w:t>
            </w:r>
            <w:r>
              <w:t>machines from statutory provisions relating to boilers</w:t>
            </w:r>
            <w:r>
              <w:t>.</w:t>
            </w:r>
            <w:r>
              <w:t xml:space="preserve"> The bill replaces the requirement that a portable </w:t>
            </w:r>
            <w:r>
              <w:t xml:space="preserve">power </w:t>
            </w:r>
            <w:r>
              <w:t>boiler be inspected externally each time the boiler is moved to a new location and receive an internal inspection at least annually with the req</w:t>
            </w:r>
            <w:r>
              <w:t xml:space="preserve">uirement that </w:t>
            </w:r>
            <w:r w:rsidRPr="00EF0371">
              <w:t>the Texas Commission of Licensing and Regulation</w:t>
            </w:r>
            <w:r>
              <w:t xml:space="preserve"> by rule establish the subsequent intervals and manner of inspection for a portable boiler.</w:t>
            </w:r>
            <w:r>
              <w:t xml:space="preserve"> The bill requires the commission to adopt the rules necessary to implement the bill's provisions. </w:t>
            </w:r>
          </w:p>
          <w:p w:rsidR="008423E4" w:rsidRPr="00835628" w:rsidRDefault="002210F0" w:rsidP="00690E79">
            <w:pPr>
              <w:rPr>
                <w:b/>
              </w:rPr>
            </w:pPr>
          </w:p>
        </w:tc>
      </w:tr>
      <w:tr w:rsidR="00D0555D" w:rsidTr="00345119">
        <w:tc>
          <w:tcPr>
            <w:tcW w:w="9576" w:type="dxa"/>
          </w:tcPr>
          <w:p w:rsidR="008423E4" w:rsidRPr="00A8133F" w:rsidRDefault="002210F0" w:rsidP="00690E79">
            <w:pPr>
              <w:rPr>
                <w:b/>
              </w:rPr>
            </w:pPr>
            <w:r w:rsidRPr="009C1E9A">
              <w:rPr>
                <w:b/>
                <w:u w:val="single"/>
              </w:rPr>
              <w:t>E</w:t>
            </w:r>
            <w:r w:rsidRPr="009C1E9A">
              <w:rPr>
                <w:b/>
                <w:u w:val="single"/>
              </w:rPr>
              <w:t>FFECTIVE DATE</w:t>
            </w:r>
            <w:r>
              <w:rPr>
                <w:b/>
              </w:rPr>
              <w:t xml:space="preserve"> </w:t>
            </w:r>
          </w:p>
          <w:p w:rsidR="008423E4" w:rsidRDefault="002210F0" w:rsidP="00690E79"/>
          <w:p w:rsidR="008423E4" w:rsidRPr="003624F2" w:rsidRDefault="002210F0" w:rsidP="00690E7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2210F0" w:rsidP="00690E79">
            <w:pPr>
              <w:rPr>
                <w:b/>
              </w:rPr>
            </w:pPr>
          </w:p>
        </w:tc>
      </w:tr>
    </w:tbl>
    <w:p w:rsidR="008423E4" w:rsidRPr="00BE0E75" w:rsidRDefault="002210F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210F0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210F0">
      <w:r>
        <w:separator/>
      </w:r>
    </w:p>
  </w:endnote>
  <w:endnote w:type="continuationSeparator" w:id="0">
    <w:p w:rsidR="00000000" w:rsidRDefault="00221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0555D" w:rsidTr="009C1E9A">
      <w:trPr>
        <w:cantSplit/>
      </w:trPr>
      <w:tc>
        <w:tcPr>
          <w:tcW w:w="0" w:type="pct"/>
        </w:tcPr>
        <w:p w:rsidR="00137D90" w:rsidRDefault="002210F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210F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210F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210F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210F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0555D" w:rsidTr="009C1E9A">
      <w:trPr>
        <w:cantSplit/>
      </w:trPr>
      <w:tc>
        <w:tcPr>
          <w:tcW w:w="0" w:type="pct"/>
        </w:tcPr>
        <w:p w:rsidR="00EC379B" w:rsidRDefault="002210F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210F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21815</w:t>
          </w:r>
        </w:p>
      </w:tc>
      <w:tc>
        <w:tcPr>
          <w:tcW w:w="2453" w:type="pct"/>
        </w:tcPr>
        <w:p w:rsidR="00EC379B" w:rsidRDefault="002210F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17.96.577</w:t>
          </w:r>
          <w:r>
            <w:fldChar w:fldCharType="end"/>
          </w:r>
        </w:p>
      </w:tc>
    </w:tr>
    <w:tr w:rsidR="00D0555D" w:rsidTr="009C1E9A">
      <w:trPr>
        <w:cantSplit/>
      </w:trPr>
      <w:tc>
        <w:tcPr>
          <w:tcW w:w="0" w:type="pct"/>
        </w:tcPr>
        <w:p w:rsidR="00EC379B" w:rsidRDefault="002210F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210F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210F0" w:rsidP="006D504F">
          <w:pPr>
            <w:pStyle w:val="Footer"/>
            <w:rPr>
              <w:rStyle w:val="PageNumber"/>
            </w:rPr>
          </w:pPr>
        </w:p>
        <w:p w:rsidR="00EC379B" w:rsidRDefault="002210F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0555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210F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210F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210F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210F0">
      <w:r>
        <w:separator/>
      </w:r>
    </w:p>
  </w:footnote>
  <w:footnote w:type="continuationSeparator" w:id="0">
    <w:p w:rsidR="00000000" w:rsidRDefault="002210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5D"/>
    <w:rsid w:val="002210F0"/>
    <w:rsid w:val="00D0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F03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03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F0371"/>
  </w:style>
  <w:style w:type="paragraph" w:styleId="CommentSubject">
    <w:name w:val="annotation subject"/>
    <w:basedOn w:val="CommentText"/>
    <w:next w:val="CommentText"/>
    <w:link w:val="CommentSubjectChar"/>
    <w:rsid w:val="00EF03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F03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F03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03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F0371"/>
  </w:style>
  <w:style w:type="paragraph" w:styleId="CommentSubject">
    <w:name w:val="annotation subject"/>
    <w:basedOn w:val="CommentText"/>
    <w:next w:val="CommentText"/>
    <w:link w:val="CommentSubjectChar"/>
    <w:rsid w:val="00EF03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F03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1357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HB03257 (Committee Report (Unamended))</vt:lpstr>
    </vt:vector>
  </TitlesOfParts>
  <Company>State of Texas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21815</dc:subject>
  <dc:creator>State of Texas</dc:creator>
  <dc:description>HB 3257 by Paddie-(H)Licensing &amp; Administrative Procedures</dc:description>
  <cp:lastModifiedBy>Alexander McMillan</cp:lastModifiedBy>
  <cp:revision>2</cp:revision>
  <cp:lastPrinted>2017-04-08T03:23:00Z</cp:lastPrinted>
  <dcterms:created xsi:type="dcterms:W3CDTF">2017-04-17T23:32:00Z</dcterms:created>
  <dcterms:modified xsi:type="dcterms:W3CDTF">2017-04-17T23:32:00Z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17.96.577</vt:lpwstr>
  </property>
</Properties>
</file>