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BCE" w:rsidRDefault="00CF7BC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4068E46D2574168BFE18DE83BB9107D"/>
          </w:placeholder>
        </w:sdtPr>
        <w:sdtContent>
          <w:r w:rsidRPr="005C2A78">
            <w:rPr>
              <w:rFonts w:cs="Times New Roman"/>
              <w:b/>
              <w:szCs w:val="24"/>
              <w:u w:val="single"/>
            </w:rPr>
            <w:t>BILL ANALYSIS</w:t>
          </w:r>
        </w:sdtContent>
      </w:sdt>
    </w:p>
    <w:p w:rsidR="00CF7BCE" w:rsidRPr="00585C31" w:rsidRDefault="00CF7BCE" w:rsidP="000F1DF9">
      <w:pPr>
        <w:spacing w:after="0" w:line="240" w:lineRule="auto"/>
        <w:rPr>
          <w:rFonts w:cs="Times New Roman"/>
          <w:szCs w:val="24"/>
        </w:rPr>
      </w:pPr>
    </w:p>
    <w:p w:rsidR="00CF7BCE" w:rsidRPr="00585C31" w:rsidRDefault="00CF7BC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F7BCE" w:rsidTr="000F1DF9">
        <w:tc>
          <w:tcPr>
            <w:tcW w:w="2718" w:type="dxa"/>
          </w:tcPr>
          <w:p w:rsidR="00CF7BCE" w:rsidRPr="005C2A78" w:rsidRDefault="00CF7BCE" w:rsidP="006D756B">
            <w:pPr>
              <w:rPr>
                <w:rFonts w:cs="Times New Roman"/>
                <w:szCs w:val="24"/>
              </w:rPr>
            </w:pPr>
            <w:sdt>
              <w:sdtPr>
                <w:rPr>
                  <w:rFonts w:cs="Times New Roman"/>
                  <w:szCs w:val="24"/>
                </w:rPr>
                <w:alias w:val="Agency Title"/>
                <w:tag w:val="AgencyTitleContentControl"/>
                <w:id w:val="1920747753"/>
                <w:lock w:val="sdtContentLocked"/>
                <w:placeholder>
                  <w:docPart w:val="00BECDDF567F470E82D73BA02BC11648"/>
                </w:placeholder>
              </w:sdtPr>
              <w:sdtEndPr>
                <w:rPr>
                  <w:rFonts w:cstheme="minorBidi"/>
                  <w:szCs w:val="22"/>
                </w:rPr>
              </w:sdtEndPr>
              <w:sdtContent>
                <w:r>
                  <w:rPr>
                    <w:rFonts w:cs="Times New Roman"/>
                    <w:szCs w:val="24"/>
                  </w:rPr>
                  <w:t>Senate Research Center</w:t>
                </w:r>
              </w:sdtContent>
            </w:sdt>
          </w:p>
        </w:tc>
        <w:tc>
          <w:tcPr>
            <w:tcW w:w="6858" w:type="dxa"/>
          </w:tcPr>
          <w:p w:rsidR="00CF7BCE" w:rsidRPr="00FF6471" w:rsidRDefault="00CF7BCE" w:rsidP="000F1DF9">
            <w:pPr>
              <w:jc w:val="right"/>
              <w:rPr>
                <w:rFonts w:cs="Times New Roman"/>
                <w:szCs w:val="24"/>
              </w:rPr>
            </w:pPr>
            <w:sdt>
              <w:sdtPr>
                <w:rPr>
                  <w:rFonts w:cs="Times New Roman"/>
                  <w:szCs w:val="24"/>
                </w:rPr>
                <w:alias w:val="Bill Number"/>
                <w:tag w:val="BillNumberOne"/>
                <w:id w:val="-410784069"/>
                <w:lock w:val="sdtContentLocked"/>
                <w:placeholder>
                  <w:docPart w:val="AA17C565F0B94F7BAFD2B5BF4DC2B303"/>
                </w:placeholder>
              </w:sdtPr>
              <w:sdtContent>
                <w:r>
                  <w:rPr>
                    <w:rFonts w:cs="Times New Roman"/>
                    <w:szCs w:val="24"/>
                  </w:rPr>
                  <w:t>H.B. 3276</w:t>
                </w:r>
              </w:sdtContent>
            </w:sdt>
          </w:p>
        </w:tc>
      </w:tr>
      <w:tr w:rsidR="00CF7BCE" w:rsidTr="000F1DF9">
        <w:sdt>
          <w:sdtPr>
            <w:rPr>
              <w:rFonts w:cs="Times New Roman"/>
              <w:szCs w:val="24"/>
            </w:rPr>
            <w:alias w:val="TLCNumber"/>
            <w:tag w:val="TLCNumber"/>
            <w:id w:val="-542600604"/>
            <w:lock w:val="sdtLocked"/>
            <w:placeholder>
              <w:docPart w:val="104BF3814EF84C2EAE48DA2C189325C1"/>
            </w:placeholder>
          </w:sdtPr>
          <w:sdtContent>
            <w:tc>
              <w:tcPr>
                <w:tcW w:w="2718" w:type="dxa"/>
              </w:tcPr>
              <w:p w:rsidR="00CF7BCE" w:rsidRPr="000F1DF9" w:rsidRDefault="00CF7BCE" w:rsidP="00C65088">
                <w:pPr>
                  <w:rPr>
                    <w:rFonts w:cs="Times New Roman"/>
                    <w:szCs w:val="24"/>
                  </w:rPr>
                </w:pPr>
                <w:r>
                  <w:rPr>
                    <w:rFonts w:cs="Times New Roman"/>
                    <w:szCs w:val="24"/>
                  </w:rPr>
                  <w:t>85R21927 LED-D</w:t>
                </w:r>
              </w:p>
            </w:tc>
          </w:sdtContent>
        </w:sdt>
        <w:tc>
          <w:tcPr>
            <w:tcW w:w="6858" w:type="dxa"/>
          </w:tcPr>
          <w:p w:rsidR="00CF7BCE" w:rsidRPr="005C2A78" w:rsidRDefault="00CF7BCE" w:rsidP="006D756B">
            <w:pPr>
              <w:jc w:val="right"/>
              <w:rPr>
                <w:rFonts w:cs="Times New Roman"/>
                <w:szCs w:val="24"/>
              </w:rPr>
            </w:pPr>
            <w:sdt>
              <w:sdtPr>
                <w:rPr>
                  <w:rFonts w:cs="Times New Roman"/>
                  <w:szCs w:val="24"/>
                </w:rPr>
                <w:alias w:val="Author Label"/>
                <w:tag w:val="By"/>
                <w:id w:val="72399597"/>
                <w:lock w:val="sdtLocked"/>
                <w:placeholder>
                  <w:docPart w:val="2214743A39DA4506BF1EA59E0984085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4761CCF9D9D426D8D55373D711552DB"/>
                </w:placeholder>
              </w:sdtPr>
              <w:sdtContent>
                <w:r>
                  <w:rPr>
                    <w:rFonts w:cs="Times New Roman"/>
                    <w:szCs w:val="24"/>
                  </w:rPr>
                  <w:t>Oliverson et al.</w:t>
                </w:r>
              </w:sdtContent>
            </w:sdt>
            <w:sdt>
              <w:sdtPr>
                <w:rPr>
                  <w:rFonts w:cs="Times New Roman"/>
                  <w:szCs w:val="24"/>
                </w:rPr>
                <w:alias w:val="Sponsor"/>
                <w:tag w:val="Sponsor"/>
                <w:id w:val="-2039656131"/>
                <w:lock w:val="sdtContentLocked"/>
                <w:placeholder>
                  <w:docPart w:val="CFE655C766A2443DA87BD87EB843B314"/>
                </w:placeholder>
              </w:sdtPr>
              <w:sdtContent>
                <w:r>
                  <w:rPr>
                    <w:rFonts w:cs="Times New Roman"/>
                    <w:szCs w:val="24"/>
                  </w:rPr>
                  <w:t xml:space="preserve"> (Taylor, Larry)</w:t>
                </w:r>
              </w:sdtContent>
            </w:sdt>
          </w:p>
        </w:tc>
      </w:tr>
      <w:tr w:rsidR="00CF7BCE" w:rsidTr="000F1DF9">
        <w:tc>
          <w:tcPr>
            <w:tcW w:w="2718" w:type="dxa"/>
          </w:tcPr>
          <w:p w:rsidR="00CF7BCE" w:rsidRPr="00BC7495" w:rsidRDefault="00CF7BCE" w:rsidP="000F1DF9">
            <w:pPr>
              <w:rPr>
                <w:rFonts w:cs="Times New Roman"/>
                <w:szCs w:val="24"/>
              </w:rPr>
            </w:pPr>
          </w:p>
        </w:tc>
        <w:sdt>
          <w:sdtPr>
            <w:rPr>
              <w:rFonts w:cs="Times New Roman"/>
              <w:szCs w:val="24"/>
            </w:rPr>
            <w:alias w:val="Committee"/>
            <w:tag w:val="Committee"/>
            <w:id w:val="1914272295"/>
            <w:lock w:val="sdtContentLocked"/>
            <w:placeholder>
              <w:docPart w:val="4A1D05D3463048CDBF378227F2D08C55"/>
            </w:placeholder>
          </w:sdtPr>
          <w:sdtContent>
            <w:tc>
              <w:tcPr>
                <w:tcW w:w="6858" w:type="dxa"/>
              </w:tcPr>
              <w:p w:rsidR="00CF7BCE" w:rsidRPr="00FF6471" w:rsidRDefault="00CF7BCE" w:rsidP="000F1DF9">
                <w:pPr>
                  <w:jc w:val="right"/>
                  <w:rPr>
                    <w:rFonts w:cs="Times New Roman"/>
                    <w:szCs w:val="24"/>
                  </w:rPr>
                </w:pPr>
                <w:r>
                  <w:rPr>
                    <w:rFonts w:cs="Times New Roman"/>
                    <w:szCs w:val="24"/>
                  </w:rPr>
                  <w:t>Business &amp; Commerce</w:t>
                </w:r>
              </w:p>
            </w:tc>
          </w:sdtContent>
        </w:sdt>
      </w:tr>
      <w:tr w:rsidR="00CF7BCE" w:rsidTr="000F1DF9">
        <w:tc>
          <w:tcPr>
            <w:tcW w:w="2718" w:type="dxa"/>
          </w:tcPr>
          <w:p w:rsidR="00CF7BCE" w:rsidRPr="00BC7495" w:rsidRDefault="00CF7BCE" w:rsidP="000F1DF9">
            <w:pPr>
              <w:rPr>
                <w:rFonts w:cs="Times New Roman"/>
                <w:szCs w:val="24"/>
              </w:rPr>
            </w:pPr>
          </w:p>
        </w:tc>
        <w:sdt>
          <w:sdtPr>
            <w:rPr>
              <w:rFonts w:cs="Times New Roman"/>
              <w:szCs w:val="24"/>
            </w:rPr>
            <w:alias w:val="Date"/>
            <w:tag w:val="DateContentControl"/>
            <w:id w:val="1178081906"/>
            <w:lock w:val="sdtLocked"/>
            <w:placeholder>
              <w:docPart w:val="BCCA5A249DCE44F2B2C3122EA456C9FB"/>
            </w:placeholder>
            <w:date w:fullDate="2017-05-10T00:00:00Z">
              <w:dateFormat w:val="M/d/yyyy"/>
              <w:lid w:val="en-US"/>
              <w:storeMappedDataAs w:val="dateTime"/>
              <w:calendar w:val="gregorian"/>
            </w:date>
          </w:sdtPr>
          <w:sdtContent>
            <w:tc>
              <w:tcPr>
                <w:tcW w:w="6858" w:type="dxa"/>
              </w:tcPr>
              <w:p w:rsidR="00CF7BCE" w:rsidRPr="00FF6471" w:rsidRDefault="00CF7BCE" w:rsidP="000F1DF9">
                <w:pPr>
                  <w:jc w:val="right"/>
                  <w:rPr>
                    <w:rFonts w:cs="Times New Roman"/>
                    <w:szCs w:val="24"/>
                  </w:rPr>
                </w:pPr>
                <w:r>
                  <w:rPr>
                    <w:rFonts w:cs="Times New Roman"/>
                    <w:szCs w:val="24"/>
                  </w:rPr>
                  <w:t>5/10/2017</w:t>
                </w:r>
              </w:p>
            </w:tc>
          </w:sdtContent>
        </w:sdt>
      </w:tr>
      <w:tr w:rsidR="00CF7BCE" w:rsidTr="000F1DF9">
        <w:tc>
          <w:tcPr>
            <w:tcW w:w="2718" w:type="dxa"/>
          </w:tcPr>
          <w:p w:rsidR="00CF7BCE" w:rsidRPr="00BC7495" w:rsidRDefault="00CF7BCE" w:rsidP="000F1DF9">
            <w:pPr>
              <w:rPr>
                <w:rFonts w:cs="Times New Roman"/>
                <w:szCs w:val="24"/>
              </w:rPr>
            </w:pPr>
          </w:p>
        </w:tc>
        <w:sdt>
          <w:sdtPr>
            <w:rPr>
              <w:rFonts w:cs="Times New Roman"/>
              <w:szCs w:val="24"/>
            </w:rPr>
            <w:alias w:val="BA Version"/>
            <w:tag w:val="BAVersion"/>
            <w:id w:val="-1685590809"/>
            <w:lock w:val="sdtContentLocked"/>
            <w:placeholder>
              <w:docPart w:val="808DFBA1FBA445738F6328E228A27803"/>
            </w:placeholder>
          </w:sdtPr>
          <w:sdtContent>
            <w:tc>
              <w:tcPr>
                <w:tcW w:w="6858" w:type="dxa"/>
              </w:tcPr>
              <w:p w:rsidR="00CF7BCE" w:rsidRPr="00FF6471" w:rsidRDefault="00CF7BCE" w:rsidP="000F1DF9">
                <w:pPr>
                  <w:jc w:val="right"/>
                  <w:rPr>
                    <w:rFonts w:cs="Times New Roman"/>
                    <w:szCs w:val="24"/>
                  </w:rPr>
                </w:pPr>
                <w:r>
                  <w:rPr>
                    <w:rFonts w:cs="Times New Roman"/>
                    <w:szCs w:val="24"/>
                  </w:rPr>
                  <w:t>Engrossed</w:t>
                </w:r>
              </w:p>
            </w:tc>
          </w:sdtContent>
        </w:sdt>
      </w:tr>
    </w:tbl>
    <w:p w:rsidR="00CF7BCE" w:rsidRPr="00FF6471" w:rsidRDefault="00CF7BCE" w:rsidP="000F1DF9">
      <w:pPr>
        <w:spacing w:after="0" w:line="240" w:lineRule="auto"/>
        <w:rPr>
          <w:rFonts w:cs="Times New Roman"/>
          <w:szCs w:val="24"/>
        </w:rPr>
      </w:pPr>
    </w:p>
    <w:p w:rsidR="00CF7BCE" w:rsidRPr="00FF6471" w:rsidRDefault="00CF7BCE" w:rsidP="000F1DF9">
      <w:pPr>
        <w:spacing w:after="0" w:line="240" w:lineRule="auto"/>
        <w:rPr>
          <w:rFonts w:cs="Times New Roman"/>
          <w:szCs w:val="24"/>
        </w:rPr>
      </w:pPr>
    </w:p>
    <w:p w:rsidR="00CF7BCE" w:rsidRPr="00FF6471" w:rsidRDefault="00CF7BC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EB8BCB82C55404590704D5C7AAC7206"/>
        </w:placeholder>
      </w:sdtPr>
      <w:sdtContent>
        <w:p w:rsidR="00CF7BCE" w:rsidRDefault="00CF7BC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0D7B42C941A423BA465BF99F434BCC2"/>
        </w:placeholder>
      </w:sdtPr>
      <w:sdtContent>
        <w:p w:rsidR="00CF7BCE" w:rsidRPr="00A072C3" w:rsidRDefault="00CF7BCE" w:rsidP="00CF7BCE">
          <w:pPr>
            <w:pStyle w:val="NormalWeb"/>
            <w:spacing w:before="0" w:beforeAutospacing="0" w:after="0" w:afterAutospacing="0"/>
            <w:jc w:val="both"/>
            <w:divId w:val="498081681"/>
            <w:rPr>
              <w:rFonts w:eastAsia="Times New Roman"/>
              <w:bCs/>
            </w:rPr>
          </w:pPr>
        </w:p>
        <w:p w:rsidR="00CF7BCE" w:rsidRDefault="00CF7BCE" w:rsidP="00CF7BCE">
          <w:pPr>
            <w:pStyle w:val="NormalWeb"/>
            <w:spacing w:before="0" w:beforeAutospacing="0" w:after="0" w:afterAutospacing="0"/>
            <w:jc w:val="both"/>
            <w:divId w:val="498081681"/>
            <w:rPr>
              <w:color w:val="000000"/>
            </w:rPr>
          </w:pPr>
          <w:r w:rsidRPr="00A072C3">
            <w:rPr>
              <w:color w:val="000000"/>
            </w:rPr>
            <w:t>The Texas Freestanding Emergency Medical Care Facility (FEC) Licensing Act was first enacted in 2009 by the 81st Legislature.</w:t>
          </w:r>
        </w:p>
        <w:p w:rsidR="00CF7BCE" w:rsidRPr="00A072C3" w:rsidRDefault="00CF7BCE" w:rsidP="00CF7BCE">
          <w:pPr>
            <w:pStyle w:val="NormalWeb"/>
            <w:spacing w:before="0" w:beforeAutospacing="0" w:after="0" w:afterAutospacing="0"/>
            <w:jc w:val="both"/>
            <w:divId w:val="498081681"/>
            <w:rPr>
              <w:color w:val="000000"/>
            </w:rPr>
          </w:pPr>
        </w:p>
        <w:p w:rsidR="00CF7BCE" w:rsidRDefault="00CF7BCE" w:rsidP="00CF7BCE">
          <w:pPr>
            <w:pStyle w:val="NormalWeb"/>
            <w:spacing w:before="0" w:beforeAutospacing="0" w:after="0" w:afterAutospacing="0"/>
            <w:jc w:val="both"/>
            <w:divId w:val="498081681"/>
            <w:rPr>
              <w:color w:val="000000"/>
            </w:rPr>
          </w:pPr>
          <w:r w:rsidRPr="00A072C3">
            <w:rPr>
              <w:color w:val="000000"/>
            </w:rPr>
            <w:t>A</w:t>
          </w:r>
          <w:r>
            <w:rPr>
              <w:color w:val="000000"/>
            </w:rPr>
            <w:t>n</w:t>
          </w:r>
          <w:r w:rsidRPr="00A072C3">
            <w:rPr>
              <w:color w:val="000000"/>
            </w:rPr>
            <w:t xml:space="preserve"> FEC facility is licensed by the state to provide 24-hour emergency services to patients at the same level as a hospital-based emergency room.</w:t>
          </w:r>
        </w:p>
        <w:p w:rsidR="00CF7BCE" w:rsidRPr="00A072C3" w:rsidRDefault="00CF7BCE" w:rsidP="00CF7BCE">
          <w:pPr>
            <w:pStyle w:val="NormalWeb"/>
            <w:spacing w:before="0" w:beforeAutospacing="0" w:after="0" w:afterAutospacing="0"/>
            <w:jc w:val="both"/>
            <w:divId w:val="498081681"/>
            <w:rPr>
              <w:color w:val="000000"/>
            </w:rPr>
          </w:pPr>
        </w:p>
        <w:p w:rsidR="00CF7BCE" w:rsidRDefault="00CF7BCE" w:rsidP="00CF7BCE">
          <w:pPr>
            <w:pStyle w:val="NormalWeb"/>
            <w:spacing w:before="0" w:beforeAutospacing="0" w:after="0" w:afterAutospacing="0"/>
            <w:jc w:val="both"/>
            <w:divId w:val="498081681"/>
            <w:rPr>
              <w:color w:val="000000"/>
            </w:rPr>
          </w:pPr>
          <w:r w:rsidRPr="00A072C3">
            <w:rPr>
              <w:color w:val="000000"/>
            </w:rPr>
            <w:t>A licensed FEC is a health care facility that provides emergency care, with the exception of trauma care, but is completely separate from an acute-care hospital. Typically, these facilities will have transfer agreements with area hospitals so they can transfer patients who need to be admitted.</w:t>
          </w:r>
        </w:p>
        <w:p w:rsidR="00CF7BCE" w:rsidRPr="00A072C3" w:rsidRDefault="00CF7BCE" w:rsidP="00CF7BCE">
          <w:pPr>
            <w:pStyle w:val="NormalWeb"/>
            <w:spacing w:before="0" w:beforeAutospacing="0" w:after="0" w:afterAutospacing="0"/>
            <w:jc w:val="both"/>
            <w:divId w:val="498081681"/>
            <w:rPr>
              <w:color w:val="000000"/>
            </w:rPr>
          </w:pPr>
        </w:p>
        <w:p w:rsidR="00CF7BCE" w:rsidRDefault="00CF7BCE" w:rsidP="00CF7BCE">
          <w:pPr>
            <w:pStyle w:val="NormalWeb"/>
            <w:spacing w:before="0" w:beforeAutospacing="0" w:after="0" w:afterAutospacing="0"/>
            <w:jc w:val="both"/>
            <w:divId w:val="498081681"/>
            <w:rPr>
              <w:color w:val="000000"/>
            </w:rPr>
          </w:pPr>
          <w:r w:rsidRPr="00A072C3">
            <w:rPr>
              <w:color w:val="000000"/>
            </w:rPr>
            <w:t>Some FECs are owned and run by hospitals, and the hospitals operate these ERs as a department of the hospital and bill thei</w:t>
          </w:r>
          <w:r>
            <w:rPr>
              <w:color w:val="000000"/>
            </w:rPr>
            <w:t>r services under the hospital'</w:t>
          </w:r>
          <w:r w:rsidRPr="00A072C3">
            <w:rPr>
              <w:color w:val="000000"/>
            </w:rPr>
            <w:t>s tax ID. Independent FECs may be owned by physicians or other business interests.</w:t>
          </w:r>
        </w:p>
        <w:p w:rsidR="00CF7BCE" w:rsidRPr="00A072C3" w:rsidRDefault="00CF7BCE" w:rsidP="00CF7BCE">
          <w:pPr>
            <w:pStyle w:val="NormalWeb"/>
            <w:spacing w:before="0" w:beforeAutospacing="0" w:after="0" w:afterAutospacing="0"/>
            <w:jc w:val="both"/>
            <w:divId w:val="498081681"/>
            <w:rPr>
              <w:color w:val="000000"/>
            </w:rPr>
          </w:pPr>
        </w:p>
        <w:p w:rsidR="00CF7BCE" w:rsidRDefault="00CF7BCE" w:rsidP="00CF7BCE">
          <w:pPr>
            <w:pStyle w:val="NormalWeb"/>
            <w:spacing w:before="0" w:beforeAutospacing="0" w:after="0" w:afterAutospacing="0"/>
            <w:jc w:val="both"/>
            <w:divId w:val="498081681"/>
            <w:rPr>
              <w:color w:val="000000"/>
            </w:rPr>
          </w:pPr>
          <w:r w:rsidRPr="00A072C3">
            <w:rPr>
              <w:color w:val="000000"/>
            </w:rPr>
            <w:t>Throughout the state, FECs are rapidly popping up in residential areas. Though these facilities tend to have the same look and feel of urgent care centers, many consumers are unaware that these facilities are often out of network and can charge patients multiple times more for the same services</w:t>
          </w:r>
          <w:r>
            <w:rPr>
              <w:color w:val="000000"/>
            </w:rPr>
            <w:t>,</w:t>
          </w:r>
          <w:r w:rsidRPr="00A072C3">
            <w:rPr>
              <w:color w:val="000000"/>
            </w:rPr>
            <w:t xml:space="preserve"> resulting in surprise medical bills. </w:t>
          </w:r>
        </w:p>
        <w:p w:rsidR="00CF7BCE" w:rsidRPr="00A072C3" w:rsidRDefault="00CF7BCE" w:rsidP="00CF7BCE">
          <w:pPr>
            <w:pStyle w:val="NormalWeb"/>
            <w:spacing w:before="0" w:beforeAutospacing="0" w:after="0" w:afterAutospacing="0"/>
            <w:jc w:val="both"/>
            <w:divId w:val="498081681"/>
            <w:rPr>
              <w:color w:val="000000"/>
            </w:rPr>
          </w:pPr>
        </w:p>
        <w:p w:rsidR="00CF7BCE" w:rsidRPr="00A072C3" w:rsidRDefault="00CF7BCE" w:rsidP="00CF7BCE">
          <w:pPr>
            <w:pStyle w:val="NormalWeb"/>
            <w:spacing w:before="0" w:beforeAutospacing="0" w:after="0" w:afterAutospacing="0"/>
            <w:jc w:val="both"/>
            <w:divId w:val="498081681"/>
            <w:rPr>
              <w:color w:val="000000"/>
            </w:rPr>
          </w:pPr>
          <w:r w:rsidRPr="00A072C3">
            <w:rPr>
              <w:color w:val="000000"/>
            </w:rPr>
            <w:t>H</w:t>
          </w:r>
          <w:r>
            <w:rPr>
              <w:color w:val="000000"/>
            </w:rPr>
            <w:t>.</w:t>
          </w:r>
          <w:r w:rsidRPr="00A072C3">
            <w:rPr>
              <w:color w:val="000000"/>
            </w:rPr>
            <w:t>B</w:t>
          </w:r>
          <w:r>
            <w:rPr>
              <w:color w:val="000000"/>
            </w:rPr>
            <w:t xml:space="preserve">. 3276 </w:t>
          </w:r>
          <w:r w:rsidRPr="00A072C3">
            <w:rPr>
              <w:color w:val="000000"/>
            </w:rPr>
            <w:t>take</w:t>
          </w:r>
          <w:r>
            <w:rPr>
              <w:color w:val="000000"/>
            </w:rPr>
            <w:t>s</w:t>
          </w:r>
          <w:r w:rsidRPr="00A072C3">
            <w:rPr>
              <w:color w:val="000000"/>
            </w:rPr>
            <w:t xml:space="preserve"> important steps to require greater transparency at freestanding ERs and ensure consumers receive adequate information to make informed healthcare decisions for them and their families. </w:t>
          </w:r>
        </w:p>
        <w:p w:rsidR="00CF7BCE" w:rsidRPr="00D70925" w:rsidRDefault="00CF7BCE" w:rsidP="00CF7BCE">
          <w:pPr>
            <w:spacing w:after="0" w:line="240" w:lineRule="auto"/>
            <w:jc w:val="both"/>
            <w:rPr>
              <w:rFonts w:eastAsia="Times New Roman" w:cs="Times New Roman"/>
              <w:bCs/>
              <w:szCs w:val="24"/>
            </w:rPr>
          </w:pPr>
        </w:p>
      </w:sdtContent>
    </w:sdt>
    <w:p w:rsidR="00CF7BCE" w:rsidRDefault="00CF7BC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3276 </w:t>
      </w:r>
      <w:bookmarkStart w:id="1" w:name="AmendsCurrentLaw"/>
      <w:bookmarkEnd w:id="1"/>
      <w:r>
        <w:rPr>
          <w:rFonts w:cs="Times New Roman"/>
          <w:szCs w:val="24"/>
        </w:rPr>
        <w:t>amends current law relating to notice of health benefit plan provider network status provided by certain freestanding emergency medical care facilities.</w:t>
      </w:r>
    </w:p>
    <w:p w:rsidR="00CF7BCE" w:rsidRPr="00A072C3" w:rsidRDefault="00CF7BCE" w:rsidP="000F1DF9">
      <w:pPr>
        <w:spacing w:after="0" w:line="240" w:lineRule="auto"/>
        <w:jc w:val="both"/>
        <w:rPr>
          <w:rFonts w:eastAsia="Times New Roman" w:cs="Times New Roman"/>
          <w:szCs w:val="24"/>
        </w:rPr>
      </w:pPr>
    </w:p>
    <w:p w:rsidR="00CF7BCE" w:rsidRPr="005C2A78" w:rsidRDefault="00CF7BC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6B8C03DF1DC4E7B9EB5163638593677"/>
          </w:placeholder>
        </w:sdtPr>
        <w:sdtContent>
          <w:r>
            <w:rPr>
              <w:rFonts w:eastAsia="Times New Roman" w:cs="Times New Roman"/>
              <w:b/>
              <w:szCs w:val="24"/>
              <w:u w:val="single"/>
            </w:rPr>
            <w:t>RULEMAKING AUTHORITY</w:t>
          </w:r>
        </w:sdtContent>
      </w:sdt>
    </w:p>
    <w:p w:rsidR="00CF7BCE" w:rsidRPr="006529C4" w:rsidRDefault="00CF7BCE" w:rsidP="00774EC7">
      <w:pPr>
        <w:spacing w:after="0" w:line="240" w:lineRule="auto"/>
        <w:jc w:val="both"/>
        <w:rPr>
          <w:rFonts w:cs="Times New Roman"/>
          <w:szCs w:val="24"/>
        </w:rPr>
      </w:pPr>
    </w:p>
    <w:p w:rsidR="00CF7BCE" w:rsidRPr="006529C4" w:rsidRDefault="00CF7BC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F7BCE" w:rsidRPr="006529C4" w:rsidRDefault="00CF7BCE" w:rsidP="00774EC7">
      <w:pPr>
        <w:spacing w:after="0" w:line="240" w:lineRule="auto"/>
        <w:jc w:val="both"/>
        <w:rPr>
          <w:rFonts w:cs="Times New Roman"/>
          <w:szCs w:val="24"/>
        </w:rPr>
      </w:pPr>
    </w:p>
    <w:p w:rsidR="00CF7BCE" w:rsidRPr="005C2A78" w:rsidRDefault="00CF7BC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07A5267D86D4621A05D2D6836B17081"/>
          </w:placeholder>
        </w:sdtPr>
        <w:sdtContent>
          <w:r>
            <w:rPr>
              <w:rFonts w:eastAsia="Times New Roman" w:cs="Times New Roman"/>
              <w:b/>
              <w:szCs w:val="24"/>
              <w:u w:val="single"/>
            </w:rPr>
            <w:t>SECTION BY SECTION ANALYSIS</w:t>
          </w:r>
        </w:sdtContent>
      </w:sdt>
    </w:p>
    <w:p w:rsidR="00CF7BCE" w:rsidRPr="005C2A78" w:rsidRDefault="00CF7BCE" w:rsidP="000F1DF9">
      <w:pPr>
        <w:spacing w:after="0" w:line="240" w:lineRule="auto"/>
        <w:jc w:val="both"/>
        <w:rPr>
          <w:rFonts w:eastAsia="Times New Roman" w:cs="Times New Roman"/>
          <w:szCs w:val="24"/>
        </w:rPr>
      </w:pPr>
    </w:p>
    <w:p w:rsidR="00CF7BCE" w:rsidRDefault="00CF7BC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241.252, Health and Safety Code, by amending Subsection (b) and adding Subsection (e), as follows:</w:t>
      </w:r>
    </w:p>
    <w:p w:rsidR="00CF7BCE" w:rsidRDefault="00CF7BCE" w:rsidP="000F1DF9">
      <w:pPr>
        <w:spacing w:after="0" w:line="240" w:lineRule="auto"/>
        <w:jc w:val="both"/>
        <w:rPr>
          <w:rFonts w:eastAsia="Times New Roman" w:cs="Times New Roman"/>
          <w:szCs w:val="24"/>
        </w:rPr>
      </w:pPr>
    </w:p>
    <w:p w:rsidR="00CF7BCE" w:rsidRDefault="00CF7BCE" w:rsidP="00A072C3">
      <w:pPr>
        <w:spacing w:after="0" w:line="240" w:lineRule="auto"/>
        <w:ind w:left="720"/>
        <w:jc w:val="both"/>
        <w:rPr>
          <w:rFonts w:eastAsia="Times New Roman" w:cs="Times New Roman"/>
          <w:szCs w:val="24"/>
        </w:rPr>
      </w:pPr>
      <w:r>
        <w:rPr>
          <w:rFonts w:eastAsia="Times New Roman" w:cs="Times New Roman"/>
          <w:szCs w:val="24"/>
        </w:rPr>
        <w:t>(b) Requires a facility described by Section 241.251 (Applicability) to post notice that:</w:t>
      </w:r>
    </w:p>
    <w:p w:rsidR="00CF7BCE" w:rsidRDefault="00CF7BCE" w:rsidP="00A072C3">
      <w:pPr>
        <w:spacing w:after="0" w:line="240" w:lineRule="auto"/>
        <w:ind w:left="720"/>
        <w:jc w:val="both"/>
        <w:rPr>
          <w:rFonts w:eastAsia="Times New Roman" w:cs="Times New Roman"/>
          <w:szCs w:val="24"/>
        </w:rPr>
      </w:pPr>
    </w:p>
    <w:p w:rsidR="00CF7BCE" w:rsidRDefault="00CF7BCE" w:rsidP="00A072C3">
      <w:pPr>
        <w:spacing w:after="0" w:line="240" w:lineRule="auto"/>
        <w:ind w:left="1440"/>
        <w:jc w:val="both"/>
        <w:rPr>
          <w:rFonts w:eastAsia="Times New Roman" w:cs="Times New Roman"/>
          <w:szCs w:val="24"/>
        </w:rPr>
      </w:pPr>
      <w:r>
        <w:rPr>
          <w:rFonts w:eastAsia="Times New Roman" w:cs="Times New Roman"/>
          <w:szCs w:val="24"/>
        </w:rPr>
        <w:t>(1) states:</w:t>
      </w:r>
    </w:p>
    <w:p w:rsidR="00CF7BCE" w:rsidRDefault="00CF7BCE" w:rsidP="00A072C3">
      <w:pPr>
        <w:spacing w:after="0" w:line="240" w:lineRule="auto"/>
        <w:ind w:left="1440"/>
        <w:jc w:val="both"/>
        <w:rPr>
          <w:rFonts w:eastAsia="Times New Roman" w:cs="Times New Roman"/>
          <w:szCs w:val="24"/>
        </w:rPr>
      </w:pPr>
    </w:p>
    <w:p w:rsidR="00CF7BCE" w:rsidRDefault="00CF7BCE" w:rsidP="00A072C3">
      <w:pPr>
        <w:spacing w:after="0" w:line="240" w:lineRule="auto"/>
        <w:ind w:left="2160"/>
        <w:jc w:val="both"/>
        <w:rPr>
          <w:rFonts w:eastAsia="Times New Roman" w:cs="Times New Roman"/>
          <w:szCs w:val="24"/>
        </w:rPr>
      </w:pPr>
      <w:r>
        <w:rPr>
          <w:rFonts w:eastAsia="Times New Roman" w:cs="Times New Roman"/>
          <w:szCs w:val="24"/>
        </w:rPr>
        <w:t>(A) redesignates Subdivision (1) as Paragraph (A) and makes a nonsubstantive change;</w:t>
      </w:r>
    </w:p>
    <w:p w:rsidR="00CF7BCE" w:rsidRDefault="00CF7BCE" w:rsidP="00A072C3">
      <w:pPr>
        <w:spacing w:after="0" w:line="240" w:lineRule="auto"/>
        <w:ind w:left="2160"/>
        <w:jc w:val="both"/>
        <w:rPr>
          <w:rFonts w:eastAsia="Times New Roman" w:cs="Times New Roman"/>
          <w:szCs w:val="24"/>
        </w:rPr>
      </w:pPr>
    </w:p>
    <w:p w:rsidR="00CF7BCE" w:rsidRDefault="00CF7BCE" w:rsidP="00A072C3">
      <w:pPr>
        <w:spacing w:after="0" w:line="240" w:lineRule="auto"/>
        <w:ind w:left="2160"/>
        <w:jc w:val="both"/>
        <w:rPr>
          <w:rFonts w:eastAsia="Times New Roman" w:cs="Times New Roman"/>
          <w:szCs w:val="24"/>
        </w:rPr>
      </w:pPr>
      <w:r>
        <w:rPr>
          <w:rFonts w:eastAsia="Times New Roman" w:cs="Times New Roman"/>
          <w:szCs w:val="24"/>
        </w:rPr>
        <w:t>(B) redesignates Subdivision (2) as Paragraph (B) and makes a nonsubstantive change;</w:t>
      </w:r>
    </w:p>
    <w:p w:rsidR="00CF7BCE" w:rsidRDefault="00CF7BCE" w:rsidP="00A072C3">
      <w:pPr>
        <w:spacing w:after="0" w:line="240" w:lineRule="auto"/>
        <w:ind w:left="2160"/>
        <w:jc w:val="both"/>
        <w:rPr>
          <w:rFonts w:eastAsia="Times New Roman" w:cs="Times New Roman"/>
          <w:szCs w:val="24"/>
        </w:rPr>
      </w:pPr>
    </w:p>
    <w:p w:rsidR="00CF7BCE" w:rsidRDefault="00CF7BCE" w:rsidP="00A072C3">
      <w:pPr>
        <w:spacing w:after="0" w:line="240" w:lineRule="auto"/>
        <w:ind w:left="2160"/>
        <w:jc w:val="both"/>
        <w:rPr>
          <w:rFonts w:eastAsia="Times New Roman" w:cs="Times New Roman"/>
          <w:szCs w:val="24"/>
        </w:rPr>
      </w:pPr>
      <w:r>
        <w:rPr>
          <w:rFonts w:eastAsia="Times New Roman" w:cs="Times New Roman"/>
          <w:szCs w:val="24"/>
        </w:rPr>
        <w:t>(C) redesignates Subdivision (3) as Paragraph (C) and makes a nonsubstantive change;</w:t>
      </w:r>
    </w:p>
    <w:p w:rsidR="00CF7BCE" w:rsidRDefault="00CF7BCE" w:rsidP="00A072C3">
      <w:pPr>
        <w:spacing w:after="0" w:line="240" w:lineRule="auto"/>
        <w:ind w:left="2160"/>
        <w:jc w:val="both"/>
        <w:rPr>
          <w:rFonts w:eastAsia="Times New Roman" w:cs="Times New Roman"/>
          <w:szCs w:val="24"/>
        </w:rPr>
      </w:pPr>
    </w:p>
    <w:p w:rsidR="00CF7BCE" w:rsidRDefault="00CF7BCE" w:rsidP="00A072C3">
      <w:pPr>
        <w:spacing w:after="0" w:line="240" w:lineRule="auto"/>
        <w:ind w:left="2160"/>
        <w:jc w:val="both"/>
        <w:rPr>
          <w:rFonts w:eastAsia="Times New Roman" w:cs="Times New Roman"/>
          <w:szCs w:val="24"/>
        </w:rPr>
      </w:pPr>
      <w:r>
        <w:rPr>
          <w:rFonts w:eastAsia="Times New Roman" w:cs="Times New Roman"/>
          <w:szCs w:val="24"/>
        </w:rPr>
        <w:t>(D) redesignates Subdivision (4) as Paragraph (D) and makes a nonsubstantive change;</w:t>
      </w:r>
    </w:p>
    <w:p w:rsidR="00CF7BCE" w:rsidRDefault="00CF7BCE" w:rsidP="00A072C3">
      <w:pPr>
        <w:spacing w:after="0" w:line="240" w:lineRule="auto"/>
        <w:ind w:left="1440"/>
        <w:jc w:val="both"/>
        <w:rPr>
          <w:rFonts w:eastAsia="Times New Roman" w:cs="Times New Roman"/>
          <w:szCs w:val="24"/>
        </w:rPr>
      </w:pPr>
    </w:p>
    <w:p w:rsidR="00CF7BCE" w:rsidRDefault="00CF7BCE" w:rsidP="00A072C3">
      <w:pPr>
        <w:spacing w:after="0" w:line="240" w:lineRule="auto"/>
        <w:ind w:left="1440"/>
        <w:jc w:val="both"/>
        <w:rPr>
          <w:rFonts w:eastAsia="Times New Roman" w:cs="Times New Roman"/>
          <w:szCs w:val="24"/>
        </w:rPr>
      </w:pPr>
      <w:r>
        <w:rPr>
          <w:rFonts w:eastAsia="Times New Roman" w:cs="Times New Roman"/>
          <w:szCs w:val="24"/>
        </w:rPr>
        <w:t>(2) either lists the health benefit plans in which the facility is a participating provider in the health benefit plan's provider network or states the facility is not a participating provider in any health benefit plan provider network.</w:t>
      </w:r>
    </w:p>
    <w:p w:rsidR="00CF7BCE" w:rsidRDefault="00CF7BCE" w:rsidP="00A072C3">
      <w:pPr>
        <w:spacing w:after="0" w:line="240" w:lineRule="auto"/>
        <w:ind w:left="1440"/>
        <w:jc w:val="both"/>
        <w:rPr>
          <w:rFonts w:eastAsia="Times New Roman" w:cs="Times New Roman"/>
          <w:szCs w:val="24"/>
        </w:rPr>
      </w:pPr>
    </w:p>
    <w:p w:rsidR="00CF7BCE" w:rsidRDefault="00CF7BCE" w:rsidP="00A072C3">
      <w:pPr>
        <w:spacing w:after="0" w:line="240" w:lineRule="auto"/>
        <w:ind w:left="720"/>
        <w:jc w:val="both"/>
        <w:rPr>
          <w:rFonts w:eastAsia="Times New Roman" w:cs="Times New Roman"/>
          <w:szCs w:val="24"/>
        </w:rPr>
      </w:pPr>
      <w:r>
        <w:rPr>
          <w:rFonts w:eastAsia="Times New Roman" w:cs="Times New Roman"/>
          <w:szCs w:val="24"/>
        </w:rPr>
        <w:t>(e) Provides that, notwithstanding Subsection (c), a facility that is a participating provider in one or more health benefit plan provider networks complies with Subsection (b)(2) if the facility:</w:t>
      </w:r>
    </w:p>
    <w:p w:rsidR="00CF7BCE" w:rsidRDefault="00CF7BCE" w:rsidP="00A072C3">
      <w:pPr>
        <w:spacing w:after="0" w:line="240" w:lineRule="auto"/>
        <w:ind w:left="720"/>
        <w:jc w:val="both"/>
        <w:rPr>
          <w:rFonts w:eastAsia="Times New Roman" w:cs="Times New Roman"/>
          <w:szCs w:val="24"/>
        </w:rPr>
      </w:pPr>
    </w:p>
    <w:p w:rsidR="00CF7BCE" w:rsidRDefault="00CF7BCE" w:rsidP="00A072C3">
      <w:pPr>
        <w:spacing w:after="0" w:line="240" w:lineRule="auto"/>
        <w:ind w:left="1440"/>
        <w:jc w:val="both"/>
        <w:rPr>
          <w:rFonts w:eastAsia="Times New Roman" w:cs="Times New Roman"/>
          <w:szCs w:val="24"/>
        </w:rPr>
      </w:pPr>
      <w:r>
        <w:rPr>
          <w:rFonts w:eastAsia="Times New Roman" w:cs="Times New Roman"/>
          <w:szCs w:val="24"/>
        </w:rPr>
        <w:t>(1) provides notice on the facility's Internet website listing the health benefit plans in which the facility is a participating provider in the benefit plan's provider network; and</w:t>
      </w:r>
    </w:p>
    <w:p w:rsidR="00CF7BCE" w:rsidRDefault="00CF7BCE" w:rsidP="00A072C3">
      <w:pPr>
        <w:spacing w:after="0" w:line="240" w:lineRule="auto"/>
        <w:ind w:left="1440"/>
        <w:jc w:val="both"/>
        <w:rPr>
          <w:rFonts w:eastAsia="Times New Roman" w:cs="Times New Roman"/>
          <w:szCs w:val="24"/>
        </w:rPr>
      </w:pPr>
    </w:p>
    <w:p w:rsidR="00CF7BCE" w:rsidRPr="005C2A78" w:rsidRDefault="00CF7BCE" w:rsidP="00A072C3">
      <w:pPr>
        <w:spacing w:after="0" w:line="240" w:lineRule="auto"/>
        <w:ind w:left="1440"/>
        <w:jc w:val="both"/>
        <w:rPr>
          <w:rFonts w:eastAsia="Times New Roman" w:cs="Times New Roman"/>
          <w:szCs w:val="24"/>
        </w:rPr>
      </w:pPr>
      <w:r>
        <w:rPr>
          <w:rFonts w:eastAsia="Times New Roman" w:cs="Times New Roman"/>
          <w:szCs w:val="24"/>
        </w:rPr>
        <w:t>(2) provides to a patient written confirmation of whether the facility is a participating provider in the patient's health benefit plan's provider network.</w:t>
      </w:r>
    </w:p>
    <w:p w:rsidR="00CF7BCE" w:rsidRPr="005C2A78" w:rsidRDefault="00CF7BCE" w:rsidP="000F1DF9">
      <w:pPr>
        <w:spacing w:after="0" w:line="240" w:lineRule="auto"/>
        <w:jc w:val="both"/>
        <w:rPr>
          <w:rFonts w:eastAsia="Times New Roman" w:cs="Times New Roman"/>
          <w:szCs w:val="24"/>
        </w:rPr>
      </w:pPr>
    </w:p>
    <w:p w:rsidR="00CF7BCE" w:rsidRDefault="00CF7BC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254.155, Health and Safety Code, by amending Subsection (a) and adding Subsection (d), as follows:</w:t>
      </w:r>
    </w:p>
    <w:p w:rsidR="00CF7BCE" w:rsidRDefault="00CF7BCE" w:rsidP="000F1DF9">
      <w:pPr>
        <w:spacing w:after="0" w:line="240" w:lineRule="auto"/>
        <w:jc w:val="both"/>
        <w:rPr>
          <w:rFonts w:eastAsia="Times New Roman" w:cs="Times New Roman"/>
          <w:szCs w:val="24"/>
        </w:rPr>
      </w:pPr>
    </w:p>
    <w:p w:rsidR="00CF7BCE" w:rsidRDefault="00CF7BCE" w:rsidP="00A072C3">
      <w:pPr>
        <w:spacing w:after="0" w:line="240" w:lineRule="auto"/>
        <w:ind w:left="720"/>
        <w:jc w:val="both"/>
        <w:rPr>
          <w:rFonts w:eastAsia="Times New Roman" w:cs="Times New Roman"/>
          <w:szCs w:val="24"/>
        </w:rPr>
      </w:pPr>
      <w:r>
        <w:rPr>
          <w:rFonts w:eastAsia="Times New Roman" w:cs="Times New Roman"/>
          <w:szCs w:val="24"/>
        </w:rPr>
        <w:t>(a) Requires a facility to post notice that:</w:t>
      </w:r>
    </w:p>
    <w:p w:rsidR="00CF7BCE" w:rsidRDefault="00CF7BCE" w:rsidP="00A072C3">
      <w:pPr>
        <w:spacing w:after="0" w:line="240" w:lineRule="auto"/>
        <w:ind w:left="720"/>
        <w:jc w:val="both"/>
        <w:rPr>
          <w:rFonts w:eastAsia="Times New Roman" w:cs="Times New Roman"/>
          <w:szCs w:val="24"/>
        </w:rPr>
      </w:pPr>
    </w:p>
    <w:p w:rsidR="00CF7BCE" w:rsidRDefault="00CF7BCE" w:rsidP="00A072C3">
      <w:pPr>
        <w:spacing w:after="0" w:line="240" w:lineRule="auto"/>
        <w:ind w:left="1440"/>
        <w:jc w:val="both"/>
        <w:rPr>
          <w:rFonts w:eastAsia="Times New Roman" w:cs="Times New Roman"/>
          <w:szCs w:val="24"/>
        </w:rPr>
      </w:pPr>
      <w:r>
        <w:rPr>
          <w:rFonts w:eastAsia="Times New Roman" w:cs="Times New Roman"/>
          <w:szCs w:val="24"/>
        </w:rPr>
        <w:t>(1) states:</w:t>
      </w:r>
    </w:p>
    <w:p w:rsidR="00CF7BCE" w:rsidRDefault="00CF7BCE" w:rsidP="00A072C3">
      <w:pPr>
        <w:spacing w:after="0" w:line="240" w:lineRule="auto"/>
        <w:ind w:left="1440"/>
        <w:jc w:val="both"/>
        <w:rPr>
          <w:rFonts w:eastAsia="Times New Roman" w:cs="Times New Roman"/>
          <w:szCs w:val="24"/>
        </w:rPr>
      </w:pPr>
    </w:p>
    <w:p w:rsidR="00CF7BCE" w:rsidRDefault="00CF7BCE" w:rsidP="00A072C3">
      <w:pPr>
        <w:spacing w:after="0" w:line="240" w:lineRule="auto"/>
        <w:ind w:left="2160"/>
        <w:jc w:val="both"/>
        <w:rPr>
          <w:rFonts w:eastAsia="Times New Roman" w:cs="Times New Roman"/>
          <w:szCs w:val="24"/>
        </w:rPr>
      </w:pPr>
      <w:r>
        <w:rPr>
          <w:rFonts w:eastAsia="Times New Roman" w:cs="Times New Roman"/>
          <w:szCs w:val="24"/>
        </w:rPr>
        <w:t>(A) redesignates Subdivision (1) as Paragraph (A) and makes a nonsubstantive change;</w:t>
      </w:r>
    </w:p>
    <w:p w:rsidR="00CF7BCE" w:rsidRDefault="00CF7BCE" w:rsidP="00A072C3">
      <w:pPr>
        <w:spacing w:after="0" w:line="240" w:lineRule="auto"/>
        <w:ind w:left="2160"/>
        <w:jc w:val="both"/>
        <w:rPr>
          <w:rFonts w:eastAsia="Times New Roman" w:cs="Times New Roman"/>
          <w:szCs w:val="24"/>
        </w:rPr>
      </w:pPr>
    </w:p>
    <w:p w:rsidR="00CF7BCE" w:rsidRDefault="00CF7BCE" w:rsidP="00A072C3">
      <w:pPr>
        <w:spacing w:after="0" w:line="240" w:lineRule="auto"/>
        <w:ind w:left="2160"/>
        <w:jc w:val="both"/>
        <w:rPr>
          <w:rFonts w:eastAsia="Times New Roman" w:cs="Times New Roman"/>
          <w:szCs w:val="24"/>
        </w:rPr>
      </w:pPr>
      <w:r>
        <w:rPr>
          <w:rFonts w:eastAsia="Times New Roman" w:cs="Times New Roman"/>
          <w:szCs w:val="24"/>
        </w:rPr>
        <w:t>(B) redesignates Subdivision (2) as Paragraph (B) and makes a nonsubstantive change;</w:t>
      </w:r>
    </w:p>
    <w:p w:rsidR="00CF7BCE" w:rsidRDefault="00CF7BCE" w:rsidP="00A072C3">
      <w:pPr>
        <w:spacing w:after="0" w:line="240" w:lineRule="auto"/>
        <w:ind w:left="2160"/>
        <w:jc w:val="both"/>
        <w:rPr>
          <w:rFonts w:eastAsia="Times New Roman" w:cs="Times New Roman"/>
          <w:szCs w:val="24"/>
        </w:rPr>
      </w:pPr>
    </w:p>
    <w:p w:rsidR="00CF7BCE" w:rsidRDefault="00CF7BCE" w:rsidP="00A072C3">
      <w:pPr>
        <w:spacing w:after="0" w:line="240" w:lineRule="auto"/>
        <w:ind w:left="2160"/>
        <w:jc w:val="both"/>
        <w:rPr>
          <w:rFonts w:eastAsia="Times New Roman" w:cs="Times New Roman"/>
          <w:szCs w:val="24"/>
        </w:rPr>
      </w:pPr>
      <w:r>
        <w:rPr>
          <w:rFonts w:eastAsia="Times New Roman" w:cs="Times New Roman"/>
          <w:szCs w:val="24"/>
        </w:rPr>
        <w:t>(C) redesignates Subdivision (3) as Paragraph (C) and makes a nonsubstantive change;</w:t>
      </w:r>
    </w:p>
    <w:p w:rsidR="00CF7BCE" w:rsidRDefault="00CF7BCE" w:rsidP="00A072C3">
      <w:pPr>
        <w:spacing w:after="0" w:line="240" w:lineRule="auto"/>
        <w:ind w:left="2160"/>
        <w:jc w:val="both"/>
        <w:rPr>
          <w:rFonts w:eastAsia="Times New Roman" w:cs="Times New Roman"/>
          <w:szCs w:val="24"/>
        </w:rPr>
      </w:pPr>
    </w:p>
    <w:p w:rsidR="00CF7BCE" w:rsidRDefault="00CF7BCE" w:rsidP="00A072C3">
      <w:pPr>
        <w:spacing w:after="0" w:line="240" w:lineRule="auto"/>
        <w:ind w:left="2160"/>
        <w:jc w:val="both"/>
        <w:rPr>
          <w:rFonts w:eastAsia="Times New Roman" w:cs="Times New Roman"/>
          <w:szCs w:val="24"/>
        </w:rPr>
      </w:pPr>
      <w:r>
        <w:rPr>
          <w:rFonts w:eastAsia="Times New Roman" w:cs="Times New Roman"/>
          <w:szCs w:val="24"/>
        </w:rPr>
        <w:t>(D) redesignates Subdivision (4) as Paragraph (D) and makes a nonsubstantive change;</w:t>
      </w:r>
    </w:p>
    <w:p w:rsidR="00CF7BCE" w:rsidRDefault="00CF7BCE" w:rsidP="00A072C3">
      <w:pPr>
        <w:spacing w:after="0" w:line="240" w:lineRule="auto"/>
        <w:ind w:left="2160"/>
        <w:jc w:val="both"/>
        <w:rPr>
          <w:rFonts w:eastAsia="Times New Roman" w:cs="Times New Roman"/>
          <w:szCs w:val="24"/>
        </w:rPr>
      </w:pPr>
    </w:p>
    <w:p w:rsidR="00CF7BCE" w:rsidRDefault="00CF7BCE" w:rsidP="00A072C3">
      <w:pPr>
        <w:spacing w:after="0" w:line="240" w:lineRule="auto"/>
        <w:ind w:left="1440"/>
        <w:jc w:val="both"/>
        <w:rPr>
          <w:rFonts w:eastAsia="Times New Roman" w:cs="Times New Roman"/>
          <w:szCs w:val="24"/>
        </w:rPr>
      </w:pPr>
      <w:r>
        <w:rPr>
          <w:rFonts w:eastAsia="Times New Roman" w:cs="Times New Roman"/>
          <w:szCs w:val="24"/>
        </w:rPr>
        <w:t>(2) either:</w:t>
      </w:r>
    </w:p>
    <w:p w:rsidR="00CF7BCE" w:rsidRDefault="00CF7BCE" w:rsidP="00A072C3">
      <w:pPr>
        <w:spacing w:after="0" w:line="240" w:lineRule="auto"/>
        <w:ind w:left="1440"/>
        <w:jc w:val="both"/>
        <w:rPr>
          <w:rFonts w:eastAsia="Times New Roman" w:cs="Times New Roman"/>
          <w:szCs w:val="24"/>
        </w:rPr>
      </w:pPr>
    </w:p>
    <w:p w:rsidR="00CF7BCE" w:rsidRDefault="00CF7BCE" w:rsidP="00A072C3">
      <w:pPr>
        <w:spacing w:after="0" w:line="240" w:lineRule="auto"/>
        <w:ind w:left="2160"/>
        <w:jc w:val="both"/>
        <w:rPr>
          <w:rFonts w:eastAsia="Times New Roman" w:cs="Times New Roman"/>
          <w:szCs w:val="24"/>
        </w:rPr>
      </w:pPr>
      <w:r>
        <w:rPr>
          <w:rFonts w:eastAsia="Times New Roman" w:cs="Times New Roman"/>
          <w:szCs w:val="24"/>
        </w:rPr>
        <w:t>(A) lists the health benefit plans in which the facility is a participating provider in the health benefit plan's provider network; or</w:t>
      </w:r>
    </w:p>
    <w:p w:rsidR="00CF7BCE" w:rsidRDefault="00CF7BCE" w:rsidP="00A072C3">
      <w:pPr>
        <w:spacing w:after="0" w:line="240" w:lineRule="auto"/>
        <w:ind w:left="2160"/>
        <w:jc w:val="both"/>
        <w:rPr>
          <w:rFonts w:eastAsia="Times New Roman" w:cs="Times New Roman"/>
          <w:szCs w:val="24"/>
        </w:rPr>
      </w:pPr>
    </w:p>
    <w:p w:rsidR="00CF7BCE" w:rsidRDefault="00CF7BCE" w:rsidP="00A072C3">
      <w:pPr>
        <w:spacing w:after="0" w:line="240" w:lineRule="auto"/>
        <w:ind w:left="2160"/>
        <w:jc w:val="both"/>
        <w:rPr>
          <w:rFonts w:eastAsia="Times New Roman" w:cs="Times New Roman"/>
          <w:szCs w:val="24"/>
        </w:rPr>
      </w:pPr>
      <w:r>
        <w:rPr>
          <w:rFonts w:eastAsia="Times New Roman" w:cs="Times New Roman"/>
          <w:szCs w:val="24"/>
        </w:rPr>
        <w:t>(B) states the facility is not a participating provider in any health benefit plan provider network.</w:t>
      </w:r>
    </w:p>
    <w:p w:rsidR="00CF7BCE" w:rsidRDefault="00CF7BCE" w:rsidP="00A072C3">
      <w:pPr>
        <w:spacing w:after="0" w:line="240" w:lineRule="auto"/>
        <w:ind w:left="2160"/>
        <w:jc w:val="both"/>
        <w:rPr>
          <w:rFonts w:eastAsia="Times New Roman" w:cs="Times New Roman"/>
          <w:szCs w:val="24"/>
        </w:rPr>
      </w:pPr>
    </w:p>
    <w:p w:rsidR="00CF7BCE" w:rsidRDefault="00CF7BCE" w:rsidP="00A072C3">
      <w:pPr>
        <w:spacing w:after="0" w:line="240" w:lineRule="auto"/>
        <w:ind w:left="720"/>
        <w:jc w:val="both"/>
        <w:rPr>
          <w:rFonts w:eastAsia="Times New Roman" w:cs="Times New Roman"/>
          <w:szCs w:val="24"/>
        </w:rPr>
      </w:pPr>
      <w:r>
        <w:rPr>
          <w:rFonts w:eastAsia="Times New Roman" w:cs="Times New Roman"/>
          <w:szCs w:val="24"/>
        </w:rPr>
        <w:t>(d) Provides that, notwithstanding Subsection (b), a facility that is a participating provider in one or more health benefit plan provider networks complies with Subsection (a)(2) if the facility:</w:t>
      </w:r>
    </w:p>
    <w:p w:rsidR="00CF7BCE" w:rsidRDefault="00CF7BCE" w:rsidP="00A072C3">
      <w:pPr>
        <w:spacing w:after="0" w:line="240" w:lineRule="auto"/>
        <w:ind w:left="720"/>
        <w:jc w:val="both"/>
        <w:rPr>
          <w:rFonts w:eastAsia="Times New Roman" w:cs="Times New Roman"/>
          <w:szCs w:val="24"/>
        </w:rPr>
      </w:pPr>
    </w:p>
    <w:p w:rsidR="00CF7BCE" w:rsidRDefault="00CF7BCE" w:rsidP="00A072C3">
      <w:pPr>
        <w:spacing w:after="0" w:line="240" w:lineRule="auto"/>
        <w:ind w:left="1440"/>
        <w:jc w:val="both"/>
        <w:rPr>
          <w:rFonts w:eastAsia="Times New Roman" w:cs="Times New Roman"/>
          <w:szCs w:val="24"/>
        </w:rPr>
      </w:pPr>
      <w:r>
        <w:rPr>
          <w:rFonts w:eastAsia="Times New Roman" w:cs="Times New Roman"/>
          <w:szCs w:val="24"/>
        </w:rPr>
        <w:t>(1) provides notice on the facility's Internet website listing the health benefit plans in which the facility is a participating provider in the health benefit plan's provider network; and</w:t>
      </w:r>
    </w:p>
    <w:p w:rsidR="00CF7BCE" w:rsidRDefault="00CF7BCE" w:rsidP="00A072C3">
      <w:pPr>
        <w:spacing w:after="0" w:line="240" w:lineRule="auto"/>
        <w:ind w:left="1440"/>
        <w:jc w:val="both"/>
        <w:rPr>
          <w:rFonts w:eastAsia="Times New Roman" w:cs="Times New Roman"/>
          <w:szCs w:val="24"/>
        </w:rPr>
      </w:pPr>
    </w:p>
    <w:p w:rsidR="00CF7BCE" w:rsidRPr="005C2A78" w:rsidRDefault="00CF7BCE" w:rsidP="00A072C3">
      <w:pPr>
        <w:spacing w:after="0" w:line="240" w:lineRule="auto"/>
        <w:ind w:left="1440"/>
        <w:jc w:val="both"/>
        <w:rPr>
          <w:rFonts w:eastAsia="Times New Roman" w:cs="Times New Roman"/>
          <w:szCs w:val="24"/>
        </w:rPr>
      </w:pPr>
      <w:r>
        <w:rPr>
          <w:rFonts w:eastAsia="Times New Roman" w:cs="Times New Roman"/>
          <w:szCs w:val="24"/>
        </w:rPr>
        <w:t>(2) provides to a patient written confirmation of whether the facility is a participating provider in the patient's health benefit plan's provider network.</w:t>
      </w:r>
    </w:p>
    <w:p w:rsidR="00CF7BCE" w:rsidRPr="005C2A78" w:rsidRDefault="00CF7BCE" w:rsidP="000F1DF9">
      <w:pPr>
        <w:spacing w:after="0" w:line="240" w:lineRule="auto"/>
        <w:jc w:val="both"/>
        <w:rPr>
          <w:rFonts w:eastAsia="Times New Roman" w:cs="Times New Roman"/>
          <w:szCs w:val="24"/>
        </w:rPr>
      </w:pPr>
    </w:p>
    <w:p w:rsidR="00CF7BCE" w:rsidRPr="00A072C3" w:rsidRDefault="00CF7BCE" w:rsidP="00774EC7">
      <w:pPr>
        <w:spacing w:after="0" w:line="240" w:lineRule="auto"/>
        <w:jc w:val="both"/>
        <w:rPr>
          <w:rFonts w:eastAsia="Times New Roman" w:cs="Times New Roman"/>
          <w:szCs w:val="24"/>
        </w:rPr>
      </w:pPr>
      <w:r>
        <w:rPr>
          <w:rFonts w:eastAsia="Times New Roman" w:cs="Times New Roman"/>
          <w:szCs w:val="24"/>
        </w:rPr>
        <w:t>SECTION 3. Effective date: September 1, 2017.</w:t>
      </w:r>
    </w:p>
    <w:sectPr w:rsidR="00CF7BCE" w:rsidRPr="00A072C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C50" w:rsidRDefault="00FC5C50" w:rsidP="000F1DF9">
      <w:pPr>
        <w:spacing w:after="0" w:line="240" w:lineRule="auto"/>
      </w:pPr>
      <w:r>
        <w:separator/>
      </w:r>
    </w:p>
  </w:endnote>
  <w:endnote w:type="continuationSeparator" w:id="0">
    <w:p w:rsidR="00FC5C50" w:rsidRDefault="00FC5C5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C5C5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F7BCE">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F7BCE">
                <w:rPr>
                  <w:sz w:val="20"/>
                  <w:szCs w:val="20"/>
                </w:rPr>
                <w:t>H.B. 3276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F7BC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C5C5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F7BC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F7BC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C50" w:rsidRDefault="00FC5C50" w:rsidP="000F1DF9">
      <w:pPr>
        <w:spacing w:after="0" w:line="240" w:lineRule="auto"/>
      </w:pPr>
      <w:r>
        <w:separator/>
      </w:r>
    </w:p>
  </w:footnote>
  <w:footnote w:type="continuationSeparator" w:id="0">
    <w:p w:rsidR="00FC5C50" w:rsidRDefault="00FC5C5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CF7BCE"/>
    <w:rsid w:val="00D11363"/>
    <w:rsid w:val="00D70925"/>
    <w:rsid w:val="00DB48D8"/>
    <w:rsid w:val="00E036F8"/>
    <w:rsid w:val="00E10F50"/>
    <w:rsid w:val="00E23091"/>
    <w:rsid w:val="00E32B14"/>
    <w:rsid w:val="00E46194"/>
    <w:rsid w:val="00EE2AD8"/>
    <w:rsid w:val="00F30915"/>
    <w:rsid w:val="00FC5C50"/>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F7BC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F7BC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8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40633" w:rsidP="0084063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4068E46D2574168BFE18DE83BB9107D"/>
        <w:category>
          <w:name w:val="General"/>
          <w:gallery w:val="placeholder"/>
        </w:category>
        <w:types>
          <w:type w:val="bbPlcHdr"/>
        </w:types>
        <w:behaviors>
          <w:behavior w:val="content"/>
        </w:behaviors>
        <w:guid w:val="{F0DCA3A2-017B-4098-9BA2-E3F4DF3F72AE}"/>
      </w:docPartPr>
      <w:docPartBody>
        <w:p w:rsidR="00000000" w:rsidRDefault="00D51323"/>
      </w:docPartBody>
    </w:docPart>
    <w:docPart>
      <w:docPartPr>
        <w:name w:val="00BECDDF567F470E82D73BA02BC11648"/>
        <w:category>
          <w:name w:val="General"/>
          <w:gallery w:val="placeholder"/>
        </w:category>
        <w:types>
          <w:type w:val="bbPlcHdr"/>
        </w:types>
        <w:behaviors>
          <w:behavior w:val="content"/>
        </w:behaviors>
        <w:guid w:val="{BC4D44C5-3771-4C5A-BCFE-15F89BDA5F1E}"/>
      </w:docPartPr>
      <w:docPartBody>
        <w:p w:rsidR="00000000" w:rsidRDefault="00D51323"/>
      </w:docPartBody>
    </w:docPart>
    <w:docPart>
      <w:docPartPr>
        <w:name w:val="AA17C565F0B94F7BAFD2B5BF4DC2B303"/>
        <w:category>
          <w:name w:val="General"/>
          <w:gallery w:val="placeholder"/>
        </w:category>
        <w:types>
          <w:type w:val="bbPlcHdr"/>
        </w:types>
        <w:behaviors>
          <w:behavior w:val="content"/>
        </w:behaviors>
        <w:guid w:val="{C3CA16FE-241D-4F7A-BB03-5AB37C0C2BC8}"/>
      </w:docPartPr>
      <w:docPartBody>
        <w:p w:rsidR="00000000" w:rsidRDefault="00D51323"/>
      </w:docPartBody>
    </w:docPart>
    <w:docPart>
      <w:docPartPr>
        <w:name w:val="104BF3814EF84C2EAE48DA2C189325C1"/>
        <w:category>
          <w:name w:val="General"/>
          <w:gallery w:val="placeholder"/>
        </w:category>
        <w:types>
          <w:type w:val="bbPlcHdr"/>
        </w:types>
        <w:behaviors>
          <w:behavior w:val="content"/>
        </w:behaviors>
        <w:guid w:val="{13F2D9D9-7334-488F-9BF2-9153847D4CCE}"/>
      </w:docPartPr>
      <w:docPartBody>
        <w:p w:rsidR="00000000" w:rsidRDefault="00D51323"/>
      </w:docPartBody>
    </w:docPart>
    <w:docPart>
      <w:docPartPr>
        <w:name w:val="2214743A39DA4506BF1EA59E09840859"/>
        <w:category>
          <w:name w:val="General"/>
          <w:gallery w:val="placeholder"/>
        </w:category>
        <w:types>
          <w:type w:val="bbPlcHdr"/>
        </w:types>
        <w:behaviors>
          <w:behavior w:val="content"/>
        </w:behaviors>
        <w:guid w:val="{03B74038-AEA0-4089-90D2-9A2AF284427F}"/>
      </w:docPartPr>
      <w:docPartBody>
        <w:p w:rsidR="00000000" w:rsidRDefault="00D51323"/>
      </w:docPartBody>
    </w:docPart>
    <w:docPart>
      <w:docPartPr>
        <w:name w:val="C4761CCF9D9D426D8D55373D711552DB"/>
        <w:category>
          <w:name w:val="General"/>
          <w:gallery w:val="placeholder"/>
        </w:category>
        <w:types>
          <w:type w:val="bbPlcHdr"/>
        </w:types>
        <w:behaviors>
          <w:behavior w:val="content"/>
        </w:behaviors>
        <w:guid w:val="{A9C168FD-6E7D-42CA-9114-29C62C27DA61}"/>
      </w:docPartPr>
      <w:docPartBody>
        <w:p w:rsidR="00000000" w:rsidRDefault="00D51323"/>
      </w:docPartBody>
    </w:docPart>
    <w:docPart>
      <w:docPartPr>
        <w:name w:val="CFE655C766A2443DA87BD87EB843B314"/>
        <w:category>
          <w:name w:val="General"/>
          <w:gallery w:val="placeholder"/>
        </w:category>
        <w:types>
          <w:type w:val="bbPlcHdr"/>
        </w:types>
        <w:behaviors>
          <w:behavior w:val="content"/>
        </w:behaviors>
        <w:guid w:val="{6BCCE253-DDE4-4E8A-A606-4B2C14C20993}"/>
      </w:docPartPr>
      <w:docPartBody>
        <w:p w:rsidR="00000000" w:rsidRDefault="00D51323"/>
      </w:docPartBody>
    </w:docPart>
    <w:docPart>
      <w:docPartPr>
        <w:name w:val="4A1D05D3463048CDBF378227F2D08C55"/>
        <w:category>
          <w:name w:val="General"/>
          <w:gallery w:val="placeholder"/>
        </w:category>
        <w:types>
          <w:type w:val="bbPlcHdr"/>
        </w:types>
        <w:behaviors>
          <w:behavior w:val="content"/>
        </w:behaviors>
        <w:guid w:val="{17B6BF03-C69F-457B-82ED-B87F10B8347B}"/>
      </w:docPartPr>
      <w:docPartBody>
        <w:p w:rsidR="00000000" w:rsidRDefault="00D51323"/>
      </w:docPartBody>
    </w:docPart>
    <w:docPart>
      <w:docPartPr>
        <w:name w:val="BCCA5A249DCE44F2B2C3122EA456C9FB"/>
        <w:category>
          <w:name w:val="General"/>
          <w:gallery w:val="placeholder"/>
        </w:category>
        <w:types>
          <w:type w:val="bbPlcHdr"/>
        </w:types>
        <w:behaviors>
          <w:behavior w:val="content"/>
        </w:behaviors>
        <w:guid w:val="{C8237014-78C3-4EF6-9DC8-E5E9B9B27A18}"/>
      </w:docPartPr>
      <w:docPartBody>
        <w:p w:rsidR="00000000" w:rsidRDefault="00840633" w:rsidP="00840633">
          <w:pPr>
            <w:pStyle w:val="BCCA5A249DCE44F2B2C3122EA456C9FB"/>
          </w:pPr>
          <w:r w:rsidRPr="00A30DD1">
            <w:rPr>
              <w:rStyle w:val="PlaceholderText"/>
            </w:rPr>
            <w:t>Click here to enter a date.</w:t>
          </w:r>
        </w:p>
      </w:docPartBody>
    </w:docPart>
    <w:docPart>
      <w:docPartPr>
        <w:name w:val="808DFBA1FBA445738F6328E228A27803"/>
        <w:category>
          <w:name w:val="General"/>
          <w:gallery w:val="placeholder"/>
        </w:category>
        <w:types>
          <w:type w:val="bbPlcHdr"/>
        </w:types>
        <w:behaviors>
          <w:behavior w:val="content"/>
        </w:behaviors>
        <w:guid w:val="{1CE2AADD-077A-4CE4-BE85-F71DB2DA4C5E}"/>
      </w:docPartPr>
      <w:docPartBody>
        <w:p w:rsidR="00000000" w:rsidRDefault="00D51323"/>
      </w:docPartBody>
    </w:docPart>
    <w:docPart>
      <w:docPartPr>
        <w:name w:val="BEB8BCB82C55404590704D5C7AAC7206"/>
        <w:category>
          <w:name w:val="General"/>
          <w:gallery w:val="placeholder"/>
        </w:category>
        <w:types>
          <w:type w:val="bbPlcHdr"/>
        </w:types>
        <w:behaviors>
          <w:behavior w:val="content"/>
        </w:behaviors>
        <w:guid w:val="{8988B3B0-A8FF-4F61-B3C7-3BD7297B2F1F}"/>
      </w:docPartPr>
      <w:docPartBody>
        <w:p w:rsidR="00000000" w:rsidRDefault="00D51323"/>
      </w:docPartBody>
    </w:docPart>
    <w:docPart>
      <w:docPartPr>
        <w:name w:val="50D7B42C941A423BA465BF99F434BCC2"/>
        <w:category>
          <w:name w:val="General"/>
          <w:gallery w:val="placeholder"/>
        </w:category>
        <w:types>
          <w:type w:val="bbPlcHdr"/>
        </w:types>
        <w:behaviors>
          <w:behavior w:val="content"/>
        </w:behaviors>
        <w:guid w:val="{E67AF384-90B7-4254-B094-7C21AB61EDE4}"/>
      </w:docPartPr>
      <w:docPartBody>
        <w:p w:rsidR="00000000" w:rsidRDefault="00840633" w:rsidP="00840633">
          <w:pPr>
            <w:pStyle w:val="50D7B42C941A423BA465BF99F434BCC2"/>
          </w:pPr>
          <w:r>
            <w:rPr>
              <w:rFonts w:eastAsia="Times New Roman" w:cs="Times New Roman"/>
              <w:bCs/>
              <w:szCs w:val="24"/>
            </w:rPr>
            <w:t xml:space="preserve"> </w:t>
          </w:r>
        </w:p>
      </w:docPartBody>
    </w:docPart>
    <w:docPart>
      <w:docPartPr>
        <w:name w:val="D6B8C03DF1DC4E7B9EB5163638593677"/>
        <w:category>
          <w:name w:val="General"/>
          <w:gallery w:val="placeholder"/>
        </w:category>
        <w:types>
          <w:type w:val="bbPlcHdr"/>
        </w:types>
        <w:behaviors>
          <w:behavior w:val="content"/>
        </w:behaviors>
        <w:guid w:val="{E67CA9A4-2DCA-4DFA-97CE-469BBC5A3E64}"/>
      </w:docPartPr>
      <w:docPartBody>
        <w:p w:rsidR="00000000" w:rsidRDefault="00D51323"/>
      </w:docPartBody>
    </w:docPart>
    <w:docPart>
      <w:docPartPr>
        <w:name w:val="A07A5267D86D4621A05D2D6836B17081"/>
        <w:category>
          <w:name w:val="General"/>
          <w:gallery w:val="placeholder"/>
        </w:category>
        <w:types>
          <w:type w:val="bbPlcHdr"/>
        </w:types>
        <w:behaviors>
          <w:behavior w:val="content"/>
        </w:behaviors>
        <w:guid w:val="{6A651EA1-4ECB-41D4-86D8-A321BF88B162}"/>
      </w:docPartPr>
      <w:docPartBody>
        <w:p w:rsidR="00000000" w:rsidRDefault="00D513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40633"/>
    <w:rsid w:val="008C55F7"/>
    <w:rsid w:val="0090598B"/>
    <w:rsid w:val="00984D6C"/>
    <w:rsid w:val="00A54AD6"/>
    <w:rsid w:val="00A57564"/>
    <w:rsid w:val="00B252A4"/>
    <w:rsid w:val="00B5530B"/>
    <w:rsid w:val="00C129E8"/>
    <w:rsid w:val="00C968BA"/>
    <w:rsid w:val="00D51323"/>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063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40633"/>
    <w:rPr>
      <w:rFonts w:ascii="Times New Roman" w:hAnsi="Times New Roman"/>
      <w:sz w:val="24"/>
    </w:rPr>
  </w:style>
  <w:style w:type="paragraph" w:customStyle="1" w:styleId="487D89B4F8B34DB4967D41FE18F7F88D7">
    <w:name w:val="487D89B4F8B34DB4967D41FE18F7F88D7"/>
    <w:rsid w:val="00840633"/>
    <w:rPr>
      <w:rFonts w:ascii="Times New Roman" w:hAnsi="Times New Roman"/>
      <w:sz w:val="24"/>
    </w:rPr>
  </w:style>
  <w:style w:type="paragraph" w:customStyle="1" w:styleId="AE2570ED5D764CD7AF9686706F550F4620">
    <w:name w:val="AE2570ED5D764CD7AF9686706F550F4620"/>
    <w:rsid w:val="00840633"/>
    <w:pPr>
      <w:tabs>
        <w:tab w:val="center" w:pos="4680"/>
        <w:tab w:val="right" w:pos="9360"/>
      </w:tabs>
      <w:spacing w:after="0" w:line="240" w:lineRule="auto"/>
    </w:pPr>
    <w:rPr>
      <w:rFonts w:ascii="Times New Roman" w:hAnsi="Times New Roman"/>
      <w:sz w:val="24"/>
    </w:rPr>
  </w:style>
  <w:style w:type="paragraph" w:customStyle="1" w:styleId="BCCA5A249DCE44F2B2C3122EA456C9FB">
    <w:name w:val="BCCA5A249DCE44F2B2C3122EA456C9FB"/>
    <w:rsid w:val="00840633"/>
  </w:style>
  <w:style w:type="paragraph" w:customStyle="1" w:styleId="50D7B42C941A423BA465BF99F434BCC2">
    <w:name w:val="50D7B42C941A423BA465BF99F434BCC2"/>
    <w:rsid w:val="008406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063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40633"/>
    <w:rPr>
      <w:rFonts w:ascii="Times New Roman" w:hAnsi="Times New Roman"/>
      <w:sz w:val="24"/>
    </w:rPr>
  </w:style>
  <w:style w:type="paragraph" w:customStyle="1" w:styleId="487D89B4F8B34DB4967D41FE18F7F88D7">
    <w:name w:val="487D89B4F8B34DB4967D41FE18F7F88D7"/>
    <w:rsid w:val="00840633"/>
    <w:rPr>
      <w:rFonts w:ascii="Times New Roman" w:hAnsi="Times New Roman"/>
      <w:sz w:val="24"/>
    </w:rPr>
  </w:style>
  <w:style w:type="paragraph" w:customStyle="1" w:styleId="AE2570ED5D764CD7AF9686706F550F4620">
    <w:name w:val="AE2570ED5D764CD7AF9686706F550F4620"/>
    <w:rsid w:val="00840633"/>
    <w:pPr>
      <w:tabs>
        <w:tab w:val="center" w:pos="4680"/>
        <w:tab w:val="right" w:pos="9360"/>
      </w:tabs>
      <w:spacing w:after="0" w:line="240" w:lineRule="auto"/>
    </w:pPr>
    <w:rPr>
      <w:rFonts w:ascii="Times New Roman" w:hAnsi="Times New Roman"/>
      <w:sz w:val="24"/>
    </w:rPr>
  </w:style>
  <w:style w:type="paragraph" w:customStyle="1" w:styleId="BCCA5A249DCE44F2B2C3122EA456C9FB">
    <w:name w:val="BCCA5A249DCE44F2B2C3122EA456C9FB"/>
    <w:rsid w:val="00840633"/>
  </w:style>
  <w:style w:type="paragraph" w:customStyle="1" w:styleId="50D7B42C941A423BA465BF99F434BCC2">
    <w:name w:val="50D7B42C941A423BA465BF99F434BCC2"/>
    <w:rsid w:val="008406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4529B5D-C3B3-41D2-BFF3-A33D50CB3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689</Words>
  <Characters>3931</Characters>
  <Application>Microsoft Office Word</Application>
  <DocSecurity>0</DocSecurity>
  <Lines>32</Lines>
  <Paragraphs>9</Paragraphs>
  <ScaleCrop>false</ScaleCrop>
  <Company>Texas Legislative Council</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2017-05-10T17:31:00Z</cp:lastPrinted>
  <dcterms:created xsi:type="dcterms:W3CDTF">2015-05-29T14:24:00Z</dcterms:created>
  <dcterms:modified xsi:type="dcterms:W3CDTF">2017-05-10T17:31:00Z</dcterms:modified>
</cp:coreProperties>
</file>

<file path=docProps/custom.xml><?xml version="1.0" encoding="utf-8"?>
<op:Properties xmlns:vt="http://schemas.openxmlformats.org/officeDocument/2006/docPropsVTypes" xmlns:op="http://schemas.openxmlformats.org/officeDocument/2006/custom-properties"/>
</file>