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341D2" w:rsidTr="00345119">
        <w:tc>
          <w:tcPr>
            <w:tcW w:w="9576" w:type="dxa"/>
            <w:noWrap/>
          </w:tcPr>
          <w:p w:rsidR="008423E4" w:rsidRPr="0022177D" w:rsidRDefault="00EE5B9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E5B96" w:rsidP="008423E4">
      <w:pPr>
        <w:jc w:val="center"/>
      </w:pPr>
    </w:p>
    <w:p w:rsidR="008423E4" w:rsidRPr="00B31F0E" w:rsidRDefault="00EE5B96" w:rsidP="008423E4"/>
    <w:p w:rsidR="008423E4" w:rsidRPr="00742794" w:rsidRDefault="00EE5B9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341D2" w:rsidTr="00345119">
        <w:tc>
          <w:tcPr>
            <w:tcW w:w="9576" w:type="dxa"/>
          </w:tcPr>
          <w:p w:rsidR="008423E4" w:rsidRPr="00861995" w:rsidRDefault="00EE5B96" w:rsidP="00345119">
            <w:pPr>
              <w:jc w:val="right"/>
            </w:pPr>
            <w:r>
              <w:t>C.S.H.B. 3363</w:t>
            </w:r>
          </w:p>
        </w:tc>
      </w:tr>
      <w:tr w:rsidR="001341D2" w:rsidTr="00345119">
        <w:tc>
          <w:tcPr>
            <w:tcW w:w="9576" w:type="dxa"/>
          </w:tcPr>
          <w:p w:rsidR="008423E4" w:rsidRPr="00861995" w:rsidRDefault="00EE5B96" w:rsidP="000C3246">
            <w:pPr>
              <w:jc w:val="right"/>
            </w:pPr>
            <w:r>
              <w:t xml:space="preserve">By: </w:t>
            </w:r>
            <w:r>
              <w:t>Neave</w:t>
            </w:r>
          </w:p>
        </w:tc>
      </w:tr>
      <w:tr w:rsidR="001341D2" w:rsidTr="00345119">
        <w:tc>
          <w:tcPr>
            <w:tcW w:w="9576" w:type="dxa"/>
          </w:tcPr>
          <w:p w:rsidR="008423E4" w:rsidRPr="00861995" w:rsidRDefault="00EE5B96" w:rsidP="00345119">
            <w:pPr>
              <w:jc w:val="right"/>
            </w:pPr>
            <w:r>
              <w:t>Business &amp; Industry</w:t>
            </w:r>
          </w:p>
        </w:tc>
      </w:tr>
      <w:tr w:rsidR="001341D2" w:rsidTr="00345119">
        <w:tc>
          <w:tcPr>
            <w:tcW w:w="9576" w:type="dxa"/>
          </w:tcPr>
          <w:p w:rsidR="008423E4" w:rsidRDefault="00EE5B9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EE5B96" w:rsidP="008423E4">
      <w:pPr>
        <w:tabs>
          <w:tab w:val="right" w:pos="9360"/>
        </w:tabs>
      </w:pPr>
    </w:p>
    <w:p w:rsidR="008423E4" w:rsidRDefault="00EE5B96" w:rsidP="008423E4"/>
    <w:p w:rsidR="008423E4" w:rsidRDefault="00EE5B9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8"/>
      </w:tblGrid>
      <w:tr w:rsidR="001341D2" w:rsidTr="000C3246">
        <w:tc>
          <w:tcPr>
            <w:tcW w:w="9588" w:type="dxa"/>
          </w:tcPr>
          <w:p w:rsidR="008423E4" w:rsidRPr="00A8133F" w:rsidRDefault="00EE5B96" w:rsidP="00493A0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E5B96" w:rsidP="00493A0B"/>
          <w:p w:rsidR="008423E4" w:rsidRDefault="00EE5B96" w:rsidP="00493A0B">
            <w:pPr>
              <w:pStyle w:val="Header"/>
              <w:jc w:val="both"/>
            </w:pPr>
            <w:r>
              <w:t xml:space="preserve">Interested parties contend that tenants should be afforded adequate notice before </w:t>
            </w:r>
            <w:r>
              <w:t>a</w:t>
            </w:r>
            <w:r>
              <w:t xml:space="preserve"> landlord increases their rent so that they have enough</w:t>
            </w:r>
            <w:r>
              <w:t xml:space="preserve"> time to weigh their financial options </w:t>
            </w:r>
            <w:r>
              <w:t xml:space="preserve">and make an informed decision regarding whether to continue their lease at the increased rate. </w:t>
            </w:r>
            <w:r>
              <w:t>C.S.</w:t>
            </w:r>
            <w:r>
              <w:t>H.B. 3363 seeks to require a landlord to give such notice in wr</w:t>
            </w:r>
            <w:r>
              <w:t xml:space="preserve">iting not later than the </w:t>
            </w:r>
            <w:r>
              <w:t xml:space="preserve">seventh </w:t>
            </w:r>
            <w:r>
              <w:t xml:space="preserve">day before the date the tenant is required </w:t>
            </w:r>
            <w:r>
              <w:t>to provide notice to vacate</w:t>
            </w:r>
            <w:r>
              <w:t xml:space="preserve"> at the end of the lease term</w:t>
            </w:r>
            <w:r>
              <w:t>.</w:t>
            </w:r>
          </w:p>
          <w:p w:rsidR="008423E4" w:rsidRPr="00E26B13" w:rsidRDefault="00EE5B96" w:rsidP="00493A0B">
            <w:pPr>
              <w:rPr>
                <w:b/>
              </w:rPr>
            </w:pPr>
          </w:p>
        </w:tc>
      </w:tr>
      <w:tr w:rsidR="001341D2" w:rsidTr="000C3246">
        <w:tc>
          <w:tcPr>
            <w:tcW w:w="9588" w:type="dxa"/>
          </w:tcPr>
          <w:p w:rsidR="0017725B" w:rsidRDefault="00EE5B96" w:rsidP="00493A0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E5B96" w:rsidP="00493A0B">
            <w:pPr>
              <w:rPr>
                <w:b/>
                <w:u w:val="single"/>
              </w:rPr>
            </w:pPr>
          </w:p>
          <w:p w:rsidR="00C33D89" w:rsidRPr="00C33D89" w:rsidRDefault="00EE5B96" w:rsidP="00493A0B">
            <w:pPr>
              <w:jc w:val="both"/>
            </w:pPr>
            <w:r>
              <w:t>It is the committee's opinion that this bill does not expressly create a criminal offense, incr</w:t>
            </w:r>
            <w:r>
              <w:t>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EE5B96" w:rsidP="00493A0B">
            <w:pPr>
              <w:rPr>
                <w:b/>
                <w:u w:val="single"/>
              </w:rPr>
            </w:pPr>
          </w:p>
        </w:tc>
      </w:tr>
      <w:tr w:rsidR="001341D2" w:rsidTr="000C3246">
        <w:tc>
          <w:tcPr>
            <w:tcW w:w="9588" w:type="dxa"/>
          </w:tcPr>
          <w:p w:rsidR="008423E4" w:rsidRPr="00A8133F" w:rsidRDefault="00EE5B96" w:rsidP="00493A0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E5B96" w:rsidP="00493A0B"/>
          <w:p w:rsidR="00C33D89" w:rsidRDefault="00EE5B96" w:rsidP="00493A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EE5B96" w:rsidP="00493A0B">
            <w:pPr>
              <w:rPr>
                <w:b/>
              </w:rPr>
            </w:pPr>
          </w:p>
        </w:tc>
      </w:tr>
      <w:tr w:rsidR="001341D2" w:rsidTr="000C3246">
        <w:tc>
          <w:tcPr>
            <w:tcW w:w="9588" w:type="dxa"/>
          </w:tcPr>
          <w:p w:rsidR="008423E4" w:rsidRPr="00A8133F" w:rsidRDefault="00EE5B96" w:rsidP="00493A0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E5B96" w:rsidP="00493A0B"/>
          <w:p w:rsidR="008423E4" w:rsidRDefault="00EE5B96" w:rsidP="00493A0B">
            <w:pPr>
              <w:pStyle w:val="Header"/>
              <w:jc w:val="both"/>
            </w:pPr>
            <w:r>
              <w:t>C.S.</w:t>
            </w:r>
            <w:r>
              <w:t>H.B. 3363 amends the Property Code to require a landlord to provide written notice to a tenant</w:t>
            </w:r>
            <w:r>
              <w:t xml:space="preserve"> if the landlord proposes on renewal of the tenant's lease to increase the </w:t>
            </w:r>
            <w:r>
              <w:t xml:space="preserve">amount of </w:t>
            </w:r>
            <w:r>
              <w:t xml:space="preserve">rent the landlord charges the tenant on the date of the notice and </w:t>
            </w:r>
            <w:r>
              <w:t>to require such notice to state the amount of the tenant's rent after the increase and the effective dat</w:t>
            </w:r>
            <w:r>
              <w:t xml:space="preserve">e of the rent increase. The bill requires a landlord </w:t>
            </w:r>
            <w:r>
              <w:t xml:space="preserve">to provide </w:t>
            </w:r>
            <w:r>
              <w:t xml:space="preserve">such </w:t>
            </w:r>
            <w:r>
              <w:t xml:space="preserve">notice not later than the </w:t>
            </w:r>
            <w:r>
              <w:t>seventh</w:t>
            </w:r>
            <w:r>
              <w:t xml:space="preserve"> day before the date the tenant is required to provide notice to vacate at the end of the lease term. The bill </w:t>
            </w:r>
            <w:r>
              <w:t>prohibits</w:t>
            </w:r>
            <w:r>
              <w:t xml:space="preserve"> a landlord who fails to </w:t>
            </w:r>
            <w:r>
              <w:t xml:space="preserve">timely </w:t>
            </w:r>
            <w:r>
              <w:t>pr</w:t>
            </w:r>
            <w:r>
              <w:t xml:space="preserve">ovide </w:t>
            </w:r>
            <w:r>
              <w:t xml:space="preserve">such notice </w:t>
            </w:r>
            <w:r>
              <w:t xml:space="preserve">from requiring the tenant to provide notice to vacate the premises before the seventh day after the date the landlord provides </w:t>
            </w:r>
            <w:r>
              <w:t xml:space="preserve">such notice </w:t>
            </w:r>
            <w:r>
              <w:t>to the tenant and</w:t>
            </w:r>
            <w:r>
              <w:t xml:space="preserve"> </w:t>
            </w:r>
            <w:r>
              <w:t>from increasing the rent</w:t>
            </w:r>
            <w:r>
              <w:t xml:space="preserve"> </w:t>
            </w:r>
            <w:r>
              <w:t>before the seventh day after the effective date of the r</w:t>
            </w:r>
            <w:r>
              <w:t>enewal lease term</w:t>
            </w:r>
            <w:r>
              <w:t xml:space="preserve"> for a tenant who renews the lease</w:t>
            </w:r>
            <w:r>
              <w:t>.</w:t>
            </w:r>
          </w:p>
          <w:p w:rsidR="008423E4" w:rsidRPr="00835628" w:rsidRDefault="00EE5B96" w:rsidP="00493A0B">
            <w:pPr>
              <w:rPr>
                <w:b/>
              </w:rPr>
            </w:pPr>
          </w:p>
        </w:tc>
      </w:tr>
      <w:tr w:rsidR="001341D2" w:rsidTr="000C3246">
        <w:tc>
          <w:tcPr>
            <w:tcW w:w="9588" w:type="dxa"/>
          </w:tcPr>
          <w:p w:rsidR="008423E4" w:rsidRPr="00A8133F" w:rsidRDefault="00EE5B96" w:rsidP="00493A0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E5B96" w:rsidP="00493A0B"/>
          <w:p w:rsidR="008423E4" w:rsidRPr="003624F2" w:rsidRDefault="00EE5B96" w:rsidP="00493A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EE5B96" w:rsidP="00493A0B">
            <w:pPr>
              <w:rPr>
                <w:b/>
              </w:rPr>
            </w:pPr>
          </w:p>
        </w:tc>
      </w:tr>
      <w:tr w:rsidR="001341D2" w:rsidTr="000C3246">
        <w:tc>
          <w:tcPr>
            <w:tcW w:w="9588" w:type="dxa"/>
          </w:tcPr>
          <w:p w:rsidR="000C3246" w:rsidRDefault="00EE5B96" w:rsidP="00493A0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D25373" w:rsidRDefault="00EE5B96" w:rsidP="00493A0B">
            <w:pPr>
              <w:jc w:val="both"/>
            </w:pPr>
          </w:p>
          <w:p w:rsidR="00D25373" w:rsidRDefault="00EE5B96" w:rsidP="00493A0B">
            <w:pPr>
              <w:jc w:val="both"/>
            </w:pPr>
            <w:r>
              <w:t xml:space="preserve">While C.S.H.B. 3363 may differ from the original in minor or nonsubstantive ways, the following comparison is organized and </w:t>
            </w:r>
            <w:r>
              <w:t>formatted in a manner that indicates the substantial differences between the introduced and committee substitute versions of the bill.</w:t>
            </w:r>
          </w:p>
          <w:p w:rsidR="00D25373" w:rsidRPr="00D914FA" w:rsidRDefault="00EE5B96" w:rsidP="00493A0B">
            <w:pPr>
              <w:jc w:val="both"/>
            </w:pPr>
          </w:p>
        </w:tc>
      </w:tr>
      <w:tr w:rsidR="001341D2" w:rsidTr="000C3246">
        <w:tc>
          <w:tcPr>
            <w:tcW w:w="9588" w:type="dxa"/>
          </w:tcPr>
          <w:tbl>
            <w:tblPr>
              <w:tblW w:w="9352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6"/>
              <w:gridCol w:w="4676"/>
            </w:tblGrid>
            <w:tr w:rsidR="001341D2" w:rsidTr="000C3246">
              <w:trPr>
                <w:cantSplit/>
                <w:tblHeader/>
              </w:trPr>
              <w:tc>
                <w:tcPr>
                  <w:tcW w:w="4676" w:type="dxa"/>
                  <w:tcMar>
                    <w:bottom w:w="188" w:type="dxa"/>
                  </w:tcMar>
                </w:tcPr>
                <w:p w:rsidR="000C3246" w:rsidRDefault="00EE5B96" w:rsidP="00493A0B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6" w:type="dxa"/>
                  <w:tcMar>
                    <w:bottom w:w="188" w:type="dxa"/>
                  </w:tcMar>
                </w:tcPr>
                <w:p w:rsidR="000C3246" w:rsidRDefault="00EE5B96" w:rsidP="00493A0B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1341D2" w:rsidTr="000C3246">
              <w:tc>
                <w:tcPr>
                  <w:tcW w:w="4676" w:type="dxa"/>
                  <w:tcMar>
                    <w:right w:w="360" w:type="dxa"/>
                  </w:tcMar>
                </w:tcPr>
                <w:p w:rsidR="000C3246" w:rsidRDefault="00EE5B96" w:rsidP="00493A0B">
                  <w:pPr>
                    <w:jc w:val="both"/>
                  </w:pPr>
                  <w:r>
                    <w:t xml:space="preserve">SECTION 1.  Subchapter A, Chapter 92, </w:t>
                  </w:r>
                  <w:r>
                    <w:lastRenderedPageBreak/>
                    <w:t xml:space="preserve">Property Code, is amended by adding </w:t>
                  </w:r>
                  <w:r>
                    <w:t>Section 92.026 to read as follows:</w:t>
                  </w:r>
                </w:p>
                <w:p w:rsidR="000C3246" w:rsidRDefault="00EE5B96" w:rsidP="00493A0B">
                  <w:pPr>
                    <w:jc w:val="both"/>
                  </w:pPr>
                  <w:r>
                    <w:rPr>
                      <w:u w:val="single"/>
                    </w:rPr>
                    <w:t xml:space="preserve">Sec. 92.026.  NOTICE OF RENT INCREASES.  (a)  A landlord shall provide written notice to a tenant if the landlord proposes on renewal of the tenant's lease to increase the rent the landlord charges the tenant on the date </w:t>
                  </w:r>
                  <w:r>
                    <w:rPr>
                      <w:u w:val="single"/>
                    </w:rPr>
                    <w:t>of the notice.</w:t>
                  </w:r>
                </w:p>
                <w:p w:rsidR="00433499" w:rsidRDefault="00EE5B96" w:rsidP="00493A0B">
                  <w:pPr>
                    <w:jc w:val="both"/>
                    <w:rPr>
                      <w:u w:val="single"/>
                    </w:rPr>
                  </w:pPr>
                </w:p>
                <w:p w:rsidR="00433499" w:rsidRDefault="00EE5B96" w:rsidP="00493A0B">
                  <w:pPr>
                    <w:jc w:val="both"/>
                    <w:rPr>
                      <w:u w:val="single"/>
                    </w:rPr>
                  </w:pPr>
                </w:p>
                <w:p w:rsidR="00433499" w:rsidRDefault="00EE5B96" w:rsidP="00493A0B">
                  <w:pPr>
                    <w:jc w:val="both"/>
                    <w:rPr>
                      <w:u w:val="single"/>
                    </w:rPr>
                  </w:pPr>
                </w:p>
                <w:p w:rsidR="00433499" w:rsidRDefault="00EE5B96" w:rsidP="00493A0B">
                  <w:pPr>
                    <w:jc w:val="both"/>
                    <w:rPr>
                      <w:u w:val="single"/>
                    </w:rPr>
                  </w:pPr>
                </w:p>
                <w:p w:rsidR="00433499" w:rsidRDefault="00EE5B96" w:rsidP="00493A0B">
                  <w:pPr>
                    <w:jc w:val="both"/>
                    <w:rPr>
                      <w:u w:val="single"/>
                    </w:rPr>
                  </w:pPr>
                </w:p>
                <w:p w:rsidR="000C3246" w:rsidRDefault="00EE5B96" w:rsidP="00493A0B">
                  <w:pPr>
                    <w:jc w:val="both"/>
                  </w:pPr>
                  <w:r>
                    <w:rPr>
                      <w:u w:val="single"/>
                    </w:rPr>
                    <w:t xml:space="preserve">(b)  The landlord shall provide the notice required by Subsection (a) not later than the </w:t>
                  </w:r>
                  <w:r w:rsidRPr="00433499">
                    <w:rPr>
                      <w:highlight w:val="lightGray"/>
                      <w:u w:val="single"/>
                    </w:rPr>
                    <w:t>14th</w:t>
                  </w:r>
                  <w:r>
                    <w:rPr>
                      <w:u w:val="single"/>
                    </w:rPr>
                    <w:t xml:space="preserve"> day before the date the tenant is required to provide notice to vacate at the end of the lease term </w:t>
                  </w:r>
                  <w:r w:rsidRPr="00433499">
                    <w:rPr>
                      <w:highlight w:val="lightGray"/>
                      <w:u w:val="single"/>
                    </w:rPr>
                    <w:t>or renewal period.</w:t>
                  </w:r>
                </w:p>
                <w:p w:rsidR="000C3246" w:rsidRDefault="00EE5B96" w:rsidP="00493A0B">
                  <w:pPr>
                    <w:jc w:val="both"/>
                  </w:pPr>
                  <w:r w:rsidRPr="00D914FA">
                    <w:rPr>
                      <w:highlight w:val="lightGray"/>
                      <w:u w:val="single"/>
                    </w:rPr>
                    <w:t xml:space="preserve">(c)  A landlord who </w:t>
                  </w:r>
                  <w:r w:rsidRPr="00D914FA">
                    <w:rPr>
                      <w:highlight w:val="lightGray"/>
                      <w:u w:val="single"/>
                    </w:rPr>
                    <w:t>fails to give notice as required by this section is liable</w:t>
                  </w:r>
                  <w:r w:rsidRPr="00D914FA">
                    <w:rPr>
                      <w:highlight w:val="lightGray"/>
                      <w:u w:val="single"/>
                    </w:rPr>
                    <w:t xml:space="preserve"> </w:t>
                  </w:r>
                  <w:r w:rsidRPr="00D914FA">
                    <w:rPr>
                      <w:highlight w:val="lightGray"/>
                      <w:u w:val="single"/>
                    </w:rPr>
                    <w:t>to the tenant for any expense incurred by the tenant as a result of the landlord's failure to give the notice.</w:t>
                  </w:r>
                </w:p>
                <w:p w:rsidR="000C3246" w:rsidRDefault="00EE5B96" w:rsidP="00493A0B">
                  <w:pPr>
                    <w:jc w:val="both"/>
                  </w:pPr>
                </w:p>
              </w:tc>
              <w:tc>
                <w:tcPr>
                  <w:tcW w:w="4676" w:type="dxa"/>
                  <w:tcMar>
                    <w:left w:w="360" w:type="dxa"/>
                  </w:tcMar>
                </w:tcPr>
                <w:p w:rsidR="000C3246" w:rsidRDefault="00EE5B96" w:rsidP="00493A0B">
                  <w:pPr>
                    <w:jc w:val="both"/>
                  </w:pPr>
                  <w:r>
                    <w:lastRenderedPageBreak/>
                    <w:t xml:space="preserve">SECTION 1.  Subchapter A, Chapter 92, </w:t>
                  </w:r>
                  <w:r>
                    <w:lastRenderedPageBreak/>
                    <w:t xml:space="preserve">Property Code, is amended by adding Section </w:t>
                  </w:r>
                  <w:r>
                    <w:t>92.026 to read as follows:</w:t>
                  </w:r>
                </w:p>
                <w:p w:rsidR="000C3246" w:rsidRDefault="00EE5B96" w:rsidP="00493A0B">
                  <w:pPr>
                    <w:jc w:val="both"/>
                  </w:pPr>
                  <w:r>
                    <w:rPr>
                      <w:u w:val="single"/>
                    </w:rPr>
                    <w:t xml:space="preserve">Sec. 92.026.  NOTICE OF RENT INCREASES.  (a)  A landlord shall provide written notice to a tenant if the landlord proposes on renewal of the tenant's lease to increase the </w:t>
                  </w:r>
                  <w:r w:rsidRPr="00433499">
                    <w:rPr>
                      <w:highlight w:val="lightGray"/>
                      <w:u w:val="single"/>
                    </w:rPr>
                    <w:t>amount of</w:t>
                  </w:r>
                  <w:r>
                    <w:rPr>
                      <w:u w:val="single"/>
                    </w:rPr>
                    <w:t xml:space="preserve"> rent the landlord charges the tenant on the dat</w:t>
                  </w:r>
                  <w:r>
                    <w:rPr>
                      <w:u w:val="single"/>
                    </w:rPr>
                    <w:t>e of the notice.</w:t>
                  </w:r>
                </w:p>
                <w:p w:rsidR="000C3246" w:rsidRPr="00433499" w:rsidRDefault="00EE5B96" w:rsidP="00493A0B">
                  <w:pPr>
                    <w:jc w:val="both"/>
                    <w:rPr>
                      <w:highlight w:val="lightGray"/>
                    </w:rPr>
                  </w:pPr>
                  <w:r w:rsidRPr="00433499">
                    <w:rPr>
                      <w:highlight w:val="lightGray"/>
                      <w:u w:val="single"/>
                    </w:rPr>
                    <w:t>(b)  The notice required by Subsection (a) must state:</w:t>
                  </w:r>
                </w:p>
                <w:p w:rsidR="000C3246" w:rsidRPr="00433499" w:rsidRDefault="00EE5B96" w:rsidP="00493A0B">
                  <w:pPr>
                    <w:jc w:val="both"/>
                    <w:rPr>
                      <w:highlight w:val="lightGray"/>
                    </w:rPr>
                  </w:pPr>
                  <w:r w:rsidRPr="00433499">
                    <w:rPr>
                      <w:highlight w:val="lightGray"/>
                      <w:u w:val="single"/>
                    </w:rPr>
                    <w:t>(1)  the amount of the tenant's rent after the increase; and</w:t>
                  </w:r>
                </w:p>
                <w:p w:rsidR="000C3246" w:rsidRPr="00433499" w:rsidRDefault="00EE5B96" w:rsidP="00493A0B">
                  <w:pPr>
                    <w:jc w:val="both"/>
                    <w:rPr>
                      <w:highlight w:val="lightGray"/>
                    </w:rPr>
                  </w:pPr>
                  <w:r w:rsidRPr="00433499">
                    <w:rPr>
                      <w:highlight w:val="lightGray"/>
                      <w:u w:val="single"/>
                    </w:rPr>
                    <w:t>(2)  the effective date of the rent increase.</w:t>
                  </w:r>
                </w:p>
                <w:p w:rsidR="000C3246" w:rsidRDefault="00EE5B96" w:rsidP="00493A0B">
                  <w:pPr>
                    <w:jc w:val="both"/>
                  </w:pPr>
                  <w:r w:rsidRPr="00433499">
                    <w:rPr>
                      <w:u w:val="single"/>
                    </w:rPr>
                    <w:t>(c)  The</w:t>
                  </w:r>
                  <w:r>
                    <w:rPr>
                      <w:u w:val="single"/>
                    </w:rPr>
                    <w:t xml:space="preserve"> landlord shall provide the notice required by Subsection (a) not lat</w:t>
                  </w:r>
                  <w:r>
                    <w:rPr>
                      <w:u w:val="single"/>
                    </w:rPr>
                    <w:t xml:space="preserve">er than the </w:t>
                  </w:r>
                  <w:r w:rsidRPr="00433499">
                    <w:rPr>
                      <w:highlight w:val="lightGray"/>
                      <w:u w:val="single"/>
                    </w:rPr>
                    <w:t>seventh</w:t>
                  </w:r>
                  <w:r>
                    <w:rPr>
                      <w:u w:val="single"/>
                    </w:rPr>
                    <w:t xml:space="preserve"> day before the date the tenant is required to provide notice to vacate at the end of the lease term.</w:t>
                  </w:r>
                </w:p>
                <w:p w:rsidR="000C3246" w:rsidRPr="007639A8" w:rsidRDefault="00EE5B96" w:rsidP="00493A0B">
                  <w:pPr>
                    <w:jc w:val="both"/>
                    <w:rPr>
                      <w:highlight w:val="lightGray"/>
                    </w:rPr>
                  </w:pPr>
                  <w:r w:rsidRPr="007639A8">
                    <w:rPr>
                      <w:highlight w:val="lightGray"/>
                      <w:u w:val="single"/>
                    </w:rPr>
                    <w:t>(d)  If</w:t>
                  </w:r>
                  <w:r w:rsidRPr="00D914FA">
                    <w:rPr>
                      <w:highlight w:val="lightGray"/>
                      <w:u w:val="single"/>
                    </w:rPr>
                    <w:t xml:space="preserve"> a landlord fails to provide notice as required by Subsection (c), the landlord may not:</w:t>
                  </w:r>
                </w:p>
                <w:p w:rsidR="000C3246" w:rsidRPr="007639A8" w:rsidRDefault="00EE5B96" w:rsidP="00493A0B">
                  <w:pPr>
                    <w:jc w:val="both"/>
                    <w:rPr>
                      <w:highlight w:val="lightGray"/>
                    </w:rPr>
                  </w:pPr>
                  <w:r w:rsidRPr="007639A8">
                    <w:rPr>
                      <w:highlight w:val="lightGray"/>
                      <w:u w:val="single"/>
                    </w:rPr>
                    <w:t>(1)  before the seventh day after the d</w:t>
                  </w:r>
                  <w:r w:rsidRPr="007639A8">
                    <w:rPr>
                      <w:highlight w:val="lightGray"/>
                      <w:u w:val="single"/>
                    </w:rPr>
                    <w:t>ate the landlord provides to the tenant a notice in compliance with Subsection (b), require the tenant to provide notice to vacate the premises; and</w:t>
                  </w:r>
                </w:p>
                <w:p w:rsidR="000C3246" w:rsidRDefault="00EE5B96" w:rsidP="00493A0B">
                  <w:pPr>
                    <w:jc w:val="both"/>
                  </w:pPr>
                  <w:r w:rsidRPr="007639A8">
                    <w:rPr>
                      <w:highlight w:val="lightGray"/>
                      <w:u w:val="single"/>
                    </w:rPr>
                    <w:t xml:space="preserve">(2)  for a tenant who renews the lease, increase the  rent before the seventh day after the effective date </w:t>
                  </w:r>
                  <w:r w:rsidRPr="007639A8">
                    <w:rPr>
                      <w:highlight w:val="lightGray"/>
                      <w:u w:val="single"/>
                    </w:rPr>
                    <w:t>of the renewal lease term.</w:t>
                  </w:r>
                </w:p>
                <w:p w:rsidR="000C3246" w:rsidRDefault="00EE5B96" w:rsidP="00493A0B">
                  <w:pPr>
                    <w:jc w:val="both"/>
                  </w:pPr>
                </w:p>
              </w:tc>
            </w:tr>
            <w:tr w:rsidR="001341D2" w:rsidTr="000C3246">
              <w:tc>
                <w:tcPr>
                  <w:tcW w:w="4676" w:type="dxa"/>
                  <w:tcMar>
                    <w:right w:w="360" w:type="dxa"/>
                  </w:tcMar>
                </w:tcPr>
                <w:p w:rsidR="000C3246" w:rsidRDefault="00EE5B96" w:rsidP="00493A0B">
                  <w:pPr>
                    <w:jc w:val="both"/>
                  </w:pPr>
                  <w:r>
                    <w:lastRenderedPageBreak/>
                    <w:t>SECTION 2.  Section 92.026, Property Code, as added by this Act,  applies only to a lease entered into or renewed on or after the effective date of this Act.  A lease entered into or renewed before the effective date of this Ac</w:t>
                  </w:r>
                  <w:r>
                    <w:t>t is governed by the law as it existed immediately before the effective date of this Act, and that law is continued in effect for that purpose.</w:t>
                  </w:r>
                </w:p>
                <w:p w:rsidR="000C3246" w:rsidRDefault="00EE5B96" w:rsidP="00493A0B">
                  <w:pPr>
                    <w:jc w:val="both"/>
                  </w:pPr>
                </w:p>
              </w:tc>
              <w:tc>
                <w:tcPr>
                  <w:tcW w:w="4676" w:type="dxa"/>
                  <w:tcMar>
                    <w:left w:w="360" w:type="dxa"/>
                  </w:tcMar>
                </w:tcPr>
                <w:p w:rsidR="000C3246" w:rsidRDefault="00EE5B96" w:rsidP="00493A0B">
                  <w:pPr>
                    <w:jc w:val="both"/>
                  </w:pPr>
                  <w:r>
                    <w:t>SECTION 2. Same as introduced version.</w:t>
                  </w:r>
                </w:p>
                <w:p w:rsidR="000C3246" w:rsidRDefault="00EE5B96" w:rsidP="00493A0B">
                  <w:pPr>
                    <w:jc w:val="both"/>
                  </w:pPr>
                </w:p>
                <w:p w:rsidR="000C3246" w:rsidRDefault="00EE5B96" w:rsidP="00493A0B">
                  <w:pPr>
                    <w:jc w:val="both"/>
                  </w:pPr>
                </w:p>
              </w:tc>
            </w:tr>
            <w:tr w:rsidR="001341D2" w:rsidTr="000C3246">
              <w:tc>
                <w:tcPr>
                  <w:tcW w:w="4676" w:type="dxa"/>
                  <w:tcMar>
                    <w:right w:w="360" w:type="dxa"/>
                  </w:tcMar>
                </w:tcPr>
                <w:p w:rsidR="000C3246" w:rsidRDefault="00EE5B96" w:rsidP="00493A0B">
                  <w:pPr>
                    <w:jc w:val="both"/>
                  </w:pPr>
                  <w:r>
                    <w:t>SECTION 3.  This Act takes effect September 1, 2017.</w:t>
                  </w:r>
                </w:p>
                <w:p w:rsidR="000C3246" w:rsidRDefault="00EE5B96" w:rsidP="00493A0B">
                  <w:pPr>
                    <w:jc w:val="both"/>
                  </w:pPr>
                </w:p>
              </w:tc>
              <w:tc>
                <w:tcPr>
                  <w:tcW w:w="4676" w:type="dxa"/>
                  <w:tcMar>
                    <w:left w:w="360" w:type="dxa"/>
                  </w:tcMar>
                </w:tcPr>
                <w:p w:rsidR="000C3246" w:rsidRDefault="00EE5B96" w:rsidP="00493A0B">
                  <w:pPr>
                    <w:jc w:val="both"/>
                  </w:pPr>
                  <w:r>
                    <w:t>SECTION 3. Same</w:t>
                  </w:r>
                  <w:r>
                    <w:t xml:space="preserve"> as introduced version.</w:t>
                  </w:r>
                </w:p>
                <w:p w:rsidR="000C3246" w:rsidRDefault="00EE5B96" w:rsidP="00493A0B">
                  <w:pPr>
                    <w:jc w:val="both"/>
                  </w:pPr>
                </w:p>
                <w:p w:rsidR="000C3246" w:rsidRDefault="00EE5B96" w:rsidP="00493A0B">
                  <w:pPr>
                    <w:jc w:val="both"/>
                  </w:pPr>
                </w:p>
              </w:tc>
            </w:tr>
          </w:tbl>
          <w:p w:rsidR="000C3246" w:rsidRDefault="00EE5B96" w:rsidP="00493A0B"/>
          <w:p w:rsidR="0007170D" w:rsidRPr="009C1E9A" w:rsidRDefault="00EE5B96" w:rsidP="00493A0B">
            <w:pPr>
              <w:rPr>
                <w:b/>
                <w:u w:val="single"/>
              </w:rPr>
            </w:pPr>
          </w:p>
        </w:tc>
      </w:tr>
      <w:tr w:rsidR="001341D2" w:rsidTr="000C3246">
        <w:tc>
          <w:tcPr>
            <w:tcW w:w="9588" w:type="dxa"/>
          </w:tcPr>
          <w:p w:rsidR="000C3246" w:rsidRDefault="00EE5B96" w:rsidP="00493A0B">
            <w:pPr>
              <w:jc w:val="center"/>
            </w:pPr>
          </w:p>
        </w:tc>
      </w:tr>
      <w:tr w:rsidR="001341D2" w:rsidTr="000C3246">
        <w:tc>
          <w:tcPr>
            <w:tcW w:w="9588" w:type="dxa"/>
          </w:tcPr>
          <w:p w:rsidR="000C3246" w:rsidRDefault="00EE5B96" w:rsidP="00493A0B">
            <w:pPr>
              <w:jc w:val="center"/>
            </w:pPr>
          </w:p>
        </w:tc>
      </w:tr>
    </w:tbl>
    <w:p w:rsidR="008423E4" w:rsidRPr="00BE0E75" w:rsidRDefault="00EE5B9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E5B9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5B96">
      <w:r>
        <w:separator/>
      </w:r>
    </w:p>
  </w:endnote>
  <w:endnote w:type="continuationSeparator" w:id="0">
    <w:p w:rsidR="00000000" w:rsidRDefault="00EE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341D2" w:rsidTr="009C1E9A">
      <w:trPr>
        <w:cantSplit/>
      </w:trPr>
      <w:tc>
        <w:tcPr>
          <w:tcW w:w="0" w:type="pct"/>
        </w:tcPr>
        <w:p w:rsidR="00137D90" w:rsidRDefault="00EE5B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A4310" w:rsidRDefault="00EE5B9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E5B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E5B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341D2" w:rsidTr="009C1E9A">
      <w:trPr>
        <w:cantSplit/>
      </w:trPr>
      <w:tc>
        <w:tcPr>
          <w:tcW w:w="0" w:type="pct"/>
        </w:tcPr>
        <w:p w:rsidR="00EC379B" w:rsidRDefault="00EE5B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E5B9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26375</w:t>
          </w:r>
        </w:p>
      </w:tc>
      <w:tc>
        <w:tcPr>
          <w:tcW w:w="2453" w:type="pct"/>
        </w:tcPr>
        <w:p w:rsidR="00EC379B" w:rsidRDefault="00EE5B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17.117.604</w:t>
          </w:r>
          <w:r>
            <w:fldChar w:fldCharType="end"/>
          </w:r>
        </w:p>
      </w:tc>
    </w:tr>
    <w:tr w:rsidR="001341D2" w:rsidTr="009C1E9A">
      <w:trPr>
        <w:cantSplit/>
      </w:trPr>
      <w:tc>
        <w:tcPr>
          <w:tcW w:w="0" w:type="pct"/>
        </w:tcPr>
        <w:p w:rsidR="00EC379B" w:rsidRDefault="00EE5B9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E5B9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26217</w:t>
          </w:r>
        </w:p>
      </w:tc>
      <w:tc>
        <w:tcPr>
          <w:tcW w:w="2453" w:type="pct"/>
        </w:tcPr>
        <w:p w:rsidR="00EC379B" w:rsidRDefault="00EE5B96" w:rsidP="006D504F">
          <w:pPr>
            <w:pStyle w:val="Footer"/>
            <w:rPr>
              <w:rStyle w:val="PageNumber"/>
            </w:rPr>
          </w:pPr>
        </w:p>
        <w:p w:rsidR="00EC379B" w:rsidRDefault="00EE5B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341D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E5B9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EE5B9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E5B9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5B96">
      <w:r>
        <w:separator/>
      </w:r>
    </w:p>
  </w:footnote>
  <w:footnote w:type="continuationSeparator" w:id="0">
    <w:p w:rsidR="00000000" w:rsidRDefault="00EE5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D2"/>
    <w:rsid w:val="001341D2"/>
    <w:rsid w:val="00E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33D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3D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3D89"/>
  </w:style>
  <w:style w:type="paragraph" w:styleId="CommentSubject">
    <w:name w:val="annotation subject"/>
    <w:basedOn w:val="CommentText"/>
    <w:next w:val="CommentText"/>
    <w:link w:val="CommentSubjectChar"/>
    <w:rsid w:val="00C33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3D89"/>
    <w:rPr>
      <w:b/>
      <w:bCs/>
    </w:rPr>
  </w:style>
  <w:style w:type="paragraph" w:styleId="Revision">
    <w:name w:val="Revision"/>
    <w:hidden/>
    <w:uiPriority w:val="99"/>
    <w:semiHidden/>
    <w:rsid w:val="00837E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33D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3D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3D89"/>
  </w:style>
  <w:style w:type="paragraph" w:styleId="CommentSubject">
    <w:name w:val="annotation subject"/>
    <w:basedOn w:val="CommentText"/>
    <w:next w:val="CommentText"/>
    <w:link w:val="CommentSubjectChar"/>
    <w:rsid w:val="00C33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3D89"/>
    <w:rPr>
      <w:b/>
      <w:bCs/>
    </w:rPr>
  </w:style>
  <w:style w:type="paragraph" w:styleId="Revision">
    <w:name w:val="Revision"/>
    <w:hidden/>
    <w:uiPriority w:val="99"/>
    <w:semiHidden/>
    <w:rsid w:val="00837E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804</Words>
  <Characters>3918</Characters>
  <Application>Microsoft Office Word</Application>
  <DocSecurity>4</DocSecurity>
  <Lines>136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HB03363 (Committee Report (Substituted))</vt:lpstr>
    </vt:vector>
  </TitlesOfParts>
  <Company>State of Texas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26375</dc:subject>
  <dc:creator>State of Texas</dc:creator>
  <dc:description>HB 3363 by Neave-(H)Business &amp; Industry (Substitute Document Number: 85R 26217)</dc:description>
  <cp:lastModifiedBy>Alexander McMillan</cp:lastModifiedBy>
  <cp:revision>2</cp:revision>
  <cp:lastPrinted>2017-04-28T19:31:00Z</cp:lastPrinted>
  <dcterms:created xsi:type="dcterms:W3CDTF">2017-05-01T21:00:00Z</dcterms:created>
  <dcterms:modified xsi:type="dcterms:W3CDTF">2017-05-01T21:00:00Z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17.117.604</vt:lpwstr>
  </property>
</Properties>
</file>