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D52F2" w:rsidTr="00345119">
        <w:tc>
          <w:tcPr>
            <w:tcW w:w="9576" w:type="dxa"/>
            <w:noWrap/>
          </w:tcPr>
          <w:p w:rsidR="008423E4" w:rsidRPr="0022177D" w:rsidRDefault="003935A3" w:rsidP="00345119">
            <w:pPr>
              <w:pStyle w:val="Heading1"/>
            </w:pPr>
            <w:bookmarkStart w:id="0" w:name="_GoBack"/>
            <w:bookmarkEnd w:id="0"/>
            <w:r w:rsidRPr="00631897">
              <w:t>BILL ANALYSIS</w:t>
            </w:r>
          </w:p>
        </w:tc>
      </w:tr>
    </w:tbl>
    <w:p w:rsidR="008423E4" w:rsidRPr="0022177D" w:rsidRDefault="003935A3" w:rsidP="008423E4">
      <w:pPr>
        <w:jc w:val="center"/>
      </w:pPr>
    </w:p>
    <w:p w:rsidR="008423E4" w:rsidRPr="00B31F0E" w:rsidRDefault="003935A3" w:rsidP="008423E4"/>
    <w:p w:rsidR="008423E4" w:rsidRPr="00742794" w:rsidRDefault="003935A3" w:rsidP="008423E4">
      <w:pPr>
        <w:tabs>
          <w:tab w:val="right" w:pos="9360"/>
        </w:tabs>
      </w:pPr>
    </w:p>
    <w:tbl>
      <w:tblPr>
        <w:tblW w:w="0" w:type="auto"/>
        <w:tblLayout w:type="fixed"/>
        <w:tblLook w:val="01E0" w:firstRow="1" w:lastRow="1" w:firstColumn="1" w:lastColumn="1" w:noHBand="0" w:noVBand="0"/>
      </w:tblPr>
      <w:tblGrid>
        <w:gridCol w:w="9576"/>
      </w:tblGrid>
      <w:tr w:rsidR="00AD52F2" w:rsidTr="00345119">
        <w:tc>
          <w:tcPr>
            <w:tcW w:w="9576" w:type="dxa"/>
          </w:tcPr>
          <w:p w:rsidR="008423E4" w:rsidRPr="00861995" w:rsidRDefault="003935A3" w:rsidP="00345119">
            <w:pPr>
              <w:jc w:val="right"/>
            </w:pPr>
            <w:r>
              <w:t>C.S.H.B. 3639</w:t>
            </w:r>
          </w:p>
        </w:tc>
      </w:tr>
      <w:tr w:rsidR="00AD52F2" w:rsidTr="00345119">
        <w:tc>
          <w:tcPr>
            <w:tcW w:w="9576" w:type="dxa"/>
          </w:tcPr>
          <w:p w:rsidR="008423E4" w:rsidRPr="00861995" w:rsidRDefault="003935A3" w:rsidP="000B37D4">
            <w:pPr>
              <w:jc w:val="right"/>
            </w:pPr>
            <w:r>
              <w:t xml:space="preserve">By: </w:t>
            </w:r>
            <w:r>
              <w:t>Gervin-Hawkins</w:t>
            </w:r>
          </w:p>
        </w:tc>
      </w:tr>
      <w:tr w:rsidR="00AD52F2" w:rsidTr="00345119">
        <w:tc>
          <w:tcPr>
            <w:tcW w:w="9576" w:type="dxa"/>
          </w:tcPr>
          <w:p w:rsidR="008423E4" w:rsidRPr="00861995" w:rsidRDefault="003935A3" w:rsidP="00345119">
            <w:pPr>
              <w:jc w:val="right"/>
            </w:pPr>
            <w:r>
              <w:t>County Affairs</w:t>
            </w:r>
          </w:p>
        </w:tc>
      </w:tr>
      <w:tr w:rsidR="00AD52F2" w:rsidTr="00345119">
        <w:tc>
          <w:tcPr>
            <w:tcW w:w="9576" w:type="dxa"/>
          </w:tcPr>
          <w:p w:rsidR="008423E4" w:rsidRDefault="003935A3" w:rsidP="00345119">
            <w:pPr>
              <w:jc w:val="right"/>
            </w:pPr>
            <w:r>
              <w:t>Committee Report (Substituted)</w:t>
            </w:r>
          </w:p>
        </w:tc>
      </w:tr>
    </w:tbl>
    <w:p w:rsidR="008423E4" w:rsidRDefault="003935A3" w:rsidP="008423E4">
      <w:pPr>
        <w:tabs>
          <w:tab w:val="right" w:pos="9360"/>
        </w:tabs>
      </w:pPr>
    </w:p>
    <w:p w:rsidR="008423E4" w:rsidRDefault="003935A3" w:rsidP="008423E4"/>
    <w:p w:rsidR="008423E4" w:rsidRDefault="003935A3" w:rsidP="008423E4"/>
    <w:tbl>
      <w:tblPr>
        <w:tblW w:w="0" w:type="auto"/>
        <w:tblCellMar>
          <w:left w:w="115" w:type="dxa"/>
          <w:right w:w="115" w:type="dxa"/>
        </w:tblCellMar>
        <w:tblLook w:val="01E0" w:firstRow="1" w:lastRow="1" w:firstColumn="1" w:lastColumn="1" w:noHBand="0" w:noVBand="0"/>
      </w:tblPr>
      <w:tblGrid>
        <w:gridCol w:w="9588"/>
      </w:tblGrid>
      <w:tr w:rsidR="00AD52F2" w:rsidTr="000B37D4">
        <w:tc>
          <w:tcPr>
            <w:tcW w:w="9588" w:type="dxa"/>
          </w:tcPr>
          <w:p w:rsidR="008423E4" w:rsidRPr="00A8133F" w:rsidRDefault="003935A3" w:rsidP="006F4107">
            <w:pPr>
              <w:rPr>
                <w:b/>
              </w:rPr>
            </w:pPr>
            <w:r w:rsidRPr="009C1E9A">
              <w:rPr>
                <w:b/>
                <w:u w:val="single"/>
              </w:rPr>
              <w:t>BACKGROUND AND PURPOSE</w:t>
            </w:r>
            <w:r>
              <w:rPr>
                <w:b/>
              </w:rPr>
              <w:t xml:space="preserve"> </w:t>
            </w:r>
          </w:p>
          <w:p w:rsidR="008423E4" w:rsidRDefault="003935A3" w:rsidP="006F4107"/>
          <w:p w:rsidR="008423E4" w:rsidRDefault="003935A3" w:rsidP="006F4107">
            <w:pPr>
              <w:pStyle w:val="Header"/>
              <w:tabs>
                <w:tab w:val="clear" w:pos="4320"/>
                <w:tab w:val="clear" w:pos="8640"/>
              </w:tabs>
              <w:jc w:val="both"/>
            </w:pPr>
            <w:r>
              <w:t xml:space="preserve">Interested parties </w:t>
            </w:r>
            <w:r>
              <w:t>contend that</w:t>
            </w:r>
            <w:r>
              <w:t xml:space="preserve"> </w:t>
            </w:r>
            <w:r>
              <w:t xml:space="preserve">certain regulation of fireworks stands is needed in </w:t>
            </w:r>
            <w:r>
              <w:t>certain counties</w:t>
            </w:r>
            <w:r>
              <w:t xml:space="preserve"> to protect public health and welfare</w:t>
            </w:r>
            <w:r>
              <w:t xml:space="preserve">. </w:t>
            </w:r>
            <w:r>
              <w:t>C.S.</w:t>
            </w:r>
            <w:r>
              <w:t>H.B</w:t>
            </w:r>
            <w:r>
              <w:t>. </w:t>
            </w:r>
            <w:r>
              <w:t xml:space="preserve">3639 seeks to address this issue </w:t>
            </w:r>
            <w:r>
              <w:t>by</w:t>
            </w:r>
            <w:r>
              <w:t xml:space="preserve"> setting out provisions relating to the regulation of fireworks stands in certain populous counties</w:t>
            </w:r>
            <w:r>
              <w:t>.</w:t>
            </w:r>
          </w:p>
          <w:p w:rsidR="008423E4" w:rsidRPr="00E26B13" w:rsidRDefault="003935A3" w:rsidP="006F4107">
            <w:pPr>
              <w:rPr>
                <w:b/>
              </w:rPr>
            </w:pPr>
          </w:p>
        </w:tc>
      </w:tr>
      <w:tr w:rsidR="00AD52F2" w:rsidTr="000B37D4">
        <w:tc>
          <w:tcPr>
            <w:tcW w:w="9588" w:type="dxa"/>
          </w:tcPr>
          <w:p w:rsidR="0017725B" w:rsidRDefault="003935A3" w:rsidP="006F4107">
            <w:pPr>
              <w:rPr>
                <w:b/>
                <w:u w:val="single"/>
              </w:rPr>
            </w:pPr>
            <w:r>
              <w:rPr>
                <w:b/>
                <w:u w:val="single"/>
              </w:rPr>
              <w:t>CRIMINAL JUSTICE IMPACT</w:t>
            </w:r>
          </w:p>
          <w:p w:rsidR="0017725B" w:rsidRDefault="003935A3" w:rsidP="006F4107">
            <w:pPr>
              <w:rPr>
                <w:b/>
                <w:u w:val="single"/>
              </w:rPr>
            </w:pPr>
          </w:p>
          <w:p w:rsidR="000F42E8" w:rsidRPr="000F42E8" w:rsidRDefault="003935A3" w:rsidP="006F4107">
            <w:pPr>
              <w:jc w:val="both"/>
            </w:pPr>
            <w:r>
              <w:t xml:space="preserve">It is the committee's opinion that this bill </w:t>
            </w:r>
            <w:r>
              <w:t>expressly does one or more of the following: creates a criminal offense, increases the punishment for an existing criminal offense or category of offenses, or changes the eligibility of a person for community supervision, parole, or mandatory supervision.</w:t>
            </w:r>
          </w:p>
          <w:p w:rsidR="0017725B" w:rsidRPr="0017725B" w:rsidRDefault="003935A3" w:rsidP="006F4107">
            <w:pPr>
              <w:rPr>
                <w:b/>
                <w:u w:val="single"/>
              </w:rPr>
            </w:pPr>
          </w:p>
        </w:tc>
      </w:tr>
      <w:tr w:rsidR="00AD52F2" w:rsidTr="000B37D4">
        <w:tc>
          <w:tcPr>
            <w:tcW w:w="9588" w:type="dxa"/>
          </w:tcPr>
          <w:p w:rsidR="008423E4" w:rsidRPr="00A8133F" w:rsidRDefault="003935A3" w:rsidP="006F4107">
            <w:pPr>
              <w:rPr>
                <w:b/>
              </w:rPr>
            </w:pPr>
            <w:r w:rsidRPr="009C1E9A">
              <w:rPr>
                <w:b/>
                <w:u w:val="single"/>
              </w:rPr>
              <w:t>RULEMAKING AUTHORITY</w:t>
            </w:r>
            <w:r>
              <w:rPr>
                <w:b/>
              </w:rPr>
              <w:t xml:space="preserve"> </w:t>
            </w:r>
          </w:p>
          <w:p w:rsidR="008423E4" w:rsidRDefault="003935A3" w:rsidP="006F4107"/>
          <w:p w:rsidR="000F42E8" w:rsidRDefault="003935A3" w:rsidP="006F410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935A3" w:rsidP="006F4107">
            <w:pPr>
              <w:rPr>
                <w:b/>
              </w:rPr>
            </w:pPr>
          </w:p>
        </w:tc>
      </w:tr>
      <w:tr w:rsidR="00AD52F2" w:rsidTr="000B37D4">
        <w:tc>
          <w:tcPr>
            <w:tcW w:w="9588" w:type="dxa"/>
          </w:tcPr>
          <w:p w:rsidR="008423E4" w:rsidRPr="00A8133F" w:rsidRDefault="003935A3" w:rsidP="006F4107">
            <w:pPr>
              <w:rPr>
                <w:b/>
              </w:rPr>
            </w:pPr>
            <w:r w:rsidRPr="009C1E9A">
              <w:rPr>
                <w:b/>
                <w:u w:val="single"/>
              </w:rPr>
              <w:t>ANALYSIS</w:t>
            </w:r>
            <w:r>
              <w:rPr>
                <w:b/>
              </w:rPr>
              <w:t xml:space="preserve"> </w:t>
            </w:r>
          </w:p>
          <w:p w:rsidR="008423E4" w:rsidRDefault="003935A3" w:rsidP="006F4107"/>
          <w:p w:rsidR="007D05CE" w:rsidRDefault="003935A3" w:rsidP="006F4107">
            <w:pPr>
              <w:pStyle w:val="Header"/>
              <w:tabs>
                <w:tab w:val="clear" w:pos="4320"/>
                <w:tab w:val="clear" w:pos="8640"/>
              </w:tabs>
              <w:jc w:val="both"/>
            </w:pPr>
            <w:r>
              <w:t>C.S.</w:t>
            </w:r>
            <w:r>
              <w:t xml:space="preserve">H.B. 3639 </w:t>
            </w:r>
            <w:r>
              <w:t xml:space="preserve">amends the Local Government Code </w:t>
            </w:r>
            <w:r>
              <w:t xml:space="preserve">to </w:t>
            </w:r>
            <w:r>
              <w:t>ex</w:t>
            </w:r>
            <w:r>
              <w:t>empt</w:t>
            </w:r>
            <w:r>
              <w:t xml:space="preserve"> </w:t>
            </w:r>
            <w:r>
              <w:t xml:space="preserve">a county with a population of more than 1.5 million in which more than 75 percent of the population lives in a single municipality </w:t>
            </w:r>
            <w:r>
              <w:t>from</w:t>
            </w:r>
            <w:r>
              <w:t xml:space="preserve"> </w:t>
            </w:r>
            <w:r>
              <w:t xml:space="preserve">statutory provisions </w:t>
            </w:r>
            <w:r>
              <w:t xml:space="preserve">relating to county </w:t>
            </w:r>
            <w:r>
              <w:t>regulation of restricted fireworks</w:t>
            </w:r>
            <w:r>
              <w:t>. The bill prohibits a retail fireworks stand</w:t>
            </w:r>
            <w:r>
              <w:t xml:space="preserve"> located in the unincorporated area of such a county </w:t>
            </w:r>
            <w:r>
              <w:t xml:space="preserve">from being located within 2,500 feet of the corporate boundary of a municipality or within 500 feet of any residential property. The bill requires the person </w:t>
            </w:r>
            <w:r w:rsidRPr="005B4DCD">
              <w:t xml:space="preserve">who obtains a retail fireworks permit </w:t>
            </w:r>
            <w:r>
              <w:t>applica</w:t>
            </w:r>
            <w:r>
              <w:t>ble to</w:t>
            </w:r>
            <w:r>
              <w:t xml:space="preserve"> such</w:t>
            </w:r>
            <w:r>
              <w:t xml:space="preserve"> a retail fireworks stand </w:t>
            </w:r>
            <w:r>
              <w:t xml:space="preserve">to </w:t>
            </w:r>
            <w:r w:rsidRPr="005B4DCD">
              <w:t>ensure that a sign is conspicuously posted on the outside of the stand that provides contact information, including a mailing address, where a member of the public may submit a complaint to the county fire marshal re</w:t>
            </w:r>
            <w:r w:rsidRPr="005B4DCD">
              <w:t xml:space="preserve">lating to any alleged unsafe operation of the stand or any alleged nuisance resulting </w:t>
            </w:r>
            <w:r>
              <w:t>from the operation of the stand</w:t>
            </w:r>
            <w:r>
              <w:t>.</w:t>
            </w:r>
            <w:r>
              <w:t xml:space="preserve"> </w:t>
            </w:r>
            <w:r>
              <w:t>The bill</w:t>
            </w:r>
            <w:r>
              <w:t xml:space="preserve"> sets out</w:t>
            </w:r>
            <w:r>
              <w:t xml:space="preserve"> sign format</w:t>
            </w:r>
            <w:r>
              <w:t xml:space="preserve"> requirements</w:t>
            </w:r>
            <w:r>
              <w:t xml:space="preserve"> and authorizes t</w:t>
            </w:r>
            <w:r w:rsidRPr="00FE76BA">
              <w:t xml:space="preserve">he commissioners court of </w:t>
            </w:r>
            <w:r>
              <w:t>the</w:t>
            </w:r>
            <w:r w:rsidRPr="00FE76BA">
              <w:t xml:space="preserve"> county by order </w:t>
            </w:r>
            <w:r>
              <w:t>to</w:t>
            </w:r>
            <w:r w:rsidRPr="00FE76BA">
              <w:t xml:space="preserve"> require additional signs to b</w:t>
            </w:r>
            <w:r w:rsidRPr="00FE76BA">
              <w:t>e provided in a language other than English if the commissioners court determines that it is likely that a substantial number of residents of the unincorporated area speak a language other than English as their familiar language</w:t>
            </w:r>
            <w:r>
              <w:t>.</w:t>
            </w:r>
            <w:r>
              <w:t xml:space="preserve"> </w:t>
            </w:r>
          </w:p>
          <w:p w:rsidR="007D05CE" w:rsidRDefault="003935A3" w:rsidP="006F4107">
            <w:pPr>
              <w:pStyle w:val="Header"/>
              <w:tabs>
                <w:tab w:val="clear" w:pos="4320"/>
                <w:tab w:val="clear" w:pos="8640"/>
              </w:tabs>
              <w:jc w:val="both"/>
            </w:pPr>
          </w:p>
          <w:p w:rsidR="00FC3A60" w:rsidRDefault="003935A3" w:rsidP="006F4107">
            <w:pPr>
              <w:pStyle w:val="Header"/>
              <w:tabs>
                <w:tab w:val="clear" w:pos="4320"/>
                <w:tab w:val="clear" w:pos="8640"/>
              </w:tabs>
              <w:jc w:val="both"/>
            </w:pPr>
            <w:r>
              <w:t>C.S.H.B. 3639</w:t>
            </w:r>
            <w:r>
              <w:t xml:space="preserve"> requires t</w:t>
            </w:r>
            <w:r>
              <w:t xml:space="preserve">he </w:t>
            </w:r>
            <w:r w:rsidRPr="00BA29B8">
              <w:t>county fire marshal</w:t>
            </w:r>
            <w:r>
              <w:t xml:space="preserve">, if the marshal receives </w:t>
            </w:r>
            <w:r w:rsidRPr="00BA29B8">
              <w:t>a complaint from a member of the public</w:t>
            </w:r>
            <w:r>
              <w:t xml:space="preserve"> under the bill's provisions</w:t>
            </w:r>
            <w:r>
              <w:t xml:space="preserve">, to </w:t>
            </w:r>
            <w:r w:rsidRPr="00BA29B8">
              <w:t>make a determination whether the complaint is valid and promptly notify the permit holder for the retail fireworks stand.</w:t>
            </w:r>
            <w:r>
              <w:t xml:space="preserve"> The bill requi</w:t>
            </w:r>
            <w:r>
              <w:t xml:space="preserve">res the permit holder to </w:t>
            </w:r>
            <w:r w:rsidRPr="00BA29B8">
              <w:t>cooperate with the county fire marshal to resolve each complaint determined valid by the county fire marshal</w:t>
            </w:r>
            <w:r>
              <w:t xml:space="preserve"> and, not later </w:t>
            </w:r>
            <w:r w:rsidRPr="00BA29B8">
              <w:t xml:space="preserve">than the third business day after the date the county fire marshal notifies the permit holder that a </w:t>
            </w:r>
            <w:r w:rsidRPr="00BA29B8">
              <w:t>complaint is valid,</w:t>
            </w:r>
            <w:r>
              <w:t xml:space="preserve"> to </w:t>
            </w:r>
            <w:r w:rsidRPr="00BA29B8">
              <w:t>resolve the complaint or remove the retail fireworks stand.</w:t>
            </w:r>
            <w:r>
              <w:t xml:space="preserve"> The bill creates a </w:t>
            </w:r>
            <w:r w:rsidRPr="00BA29B8">
              <w:t>Class C misdemeanor</w:t>
            </w:r>
            <w:r>
              <w:t xml:space="preserve"> offense for a </w:t>
            </w:r>
            <w:r w:rsidRPr="00BA29B8">
              <w:t xml:space="preserve">permit holder who fails to take appropriate action within </w:t>
            </w:r>
            <w:r>
              <w:t>such</w:t>
            </w:r>
            <w:r w:rsidRPr="00BA29B8">
              <w:t xml:space="preserve"> period</w:t>
            </w:r>
            <w:r>
              <w:t xml:space="preserve">. The bill creates an offense for a </w:t>
            </w:r>
            <w:r w:rsidRPr="00BA29B8">
              <w:t>person who know</w:t>
            </w:r>
            <w:r w:rsidRPr="00BA29B8">
              <w:t>ingly files a baseless</w:t>
            </w:r>
            <w:r>
              <w:t xml:space="preserve"> complaint and sets the penalty for a first offense</w:t>
            </w:r>
            <w:r>
              <w:t xml:space="preserve"> as a warning citation</w:t>
            </w:r>
            <w:r>
              <w:t xml:space="preserve"> and</w:t>
            </w:r>
            <w:r>
              <w:t xml:space="preserve"> for</w:t>
            </w:r>
            <w:r>
              <w:t xml:space="preserve"> a subsequent offense as a Class </w:t>
            </w:r>
            <w:r>
              <w:t>C</w:t>
            </w:r>
            <w:r>
              <w:t xml:space="preserve"> misdemeanor. The bill prohibits the </w:t>
            </w:r>
            <w:r w:rsidRPr="00D849B7">
              <w:lastRenderedPageBreak/>
              <w:t>structure for a retail fireworks stand</w:t>
            </w:r>
            <w:r>
              <w:t xml:space="preserve"> from being placed </w:t>
            </w:r>
            <w:r w:rsidRPr="00D849B7">
              <w:t>on a site more than 15 da</w:t>
            </w:r>
            <w:r w:rsidRPr="00D849B7">
              <w:t>ys before fireworks are authorized for sale by law</w:t>
            </w:r>
            <w:r>
              <w:t xml:space="preserve"> and</w:t>
            </w:r>
            <w:r>
              <w:t xml:space="preserve"> requires </w:t>
            </w:r>
            <w:r>
              <w:t>such a</w:t>
            </w:r>
            <w:r>
              <w:t xml:space="preserve"> structure to </w:t>
            </w:r>
            <w:r w:rsidRPr="00D849B7">
              <w:t>be removed from a site not later than 15 days after the last day fireworks are authorized for sale by law.</w:t>
            </w:r>
            <w:r>
              <w:t xml:space="preserve"> </w:t>
            </w:r>
          </w:p>
          <w:p w:rsidR="008423E4" w:rsidRPr="00835628" w:rsidRDefault="003935A3" w:rsidP="006F4107">
            <w:pPr>
              <w:rPr>
                <w:b/>
              </w:rPr>
            </w:pPr>
          </w:p>
        </w:tc>
      </w:tr>
      <w:tr w:rsidR="00AD52F2" w:rsidTr="000B37D4">
        <w:tc>
          <w:tcPr>
            <w:tcW w:w="9588" w:type="dxa"/>
          </w:tcPr>
          <w:p w:rsidR="008423E4" w:rsidRPr="00A8133F" w:rsidRDefault="003935A3" w:rsidP="006F4107">
            <w:pPr>
              <w:rPr>
                <w:b/>
              </w:rPr>
            </w:pPr>
            <w:r w:rsidRPr="009C1E9A">
              <w:rPr>
                <w:b/>
                <w:u w:val="single"/>
              </w:rPr>
              <w:lastRenderedPageBreak/>
              <w:t>EFFECTIVE DATE</w:t>
            </w:r>
            <w:r>
              <w:rPr>
                <w:b/>
              </w:rPr>
              <w:t xml:space="preserve"> </w:t>
            </w:r>
          </w:p>
          <w:p w:rsidR="008423E4" w:rsidRDefault="003935A3" w:rsidP="006F4107"/>
          <w:p w:rsidR="00095773" w:rsidRPr="003624F2" w:rsidRDefault="003935A3" w:rsidP="006F4107">
            <w:pPr>
              <w:pStyle w:val="Header"/>
              <w:tabs>
                <w:tab w:val="clear" w:pos="4320"/>
                <w:tab w:val="clear" w:pos="8640"/>
              </w:tabs>
              <w:jc w:val="both"/>
            </w:pPr>
            <w:r>
              <w:t xml:space="preserve">On passage, or, if the bill does not receive </w:t>
            </w:r>
            <w:r>
              <w:t>the necessary vote, September 1, 2017.</w:t>
            </w:r>
          </w:p>
          <w:p w:rsidR="008423E4" w:rsidRPr="00233FDB" w:rsidRDefault="003935A3" w:rsidP="006F4107">
            <w:pPr>
              <w:rPr>
                <w:b/>
              </w:rPr>
            </w:pPr>
          </w:p>
        </w:tc>
      </w:tr>
      <w:tr w:rsidR="00AD52F2" w:rsidTr="000B37D4">
        <w:tc>
          <w:tcPr>
            <w:tcW w:w="9588" w:type="dxa"/>
          </w:tcPr>
          <w:p w:rsidR="000B37D4" w:rsidRDefault="003935A3" w:rsidP="006F4107">
            <w:pPr>
              <w:jc w:val="both"/>
              <w:rPr>
                <w:b/>
                <w:u w:val="single"/>
              </w:rPr>
            </w:pPr>
            <w:r>
              <w:rPr>
                <w:b/>
                <w:u w:val="single"/>
              </w:rPr>
              <w:t>COMPARISON OF ORIGINAL AND SUBSTITUTE</w:t>
            </w:r>
          </w:p>
          <w:p w:rsidR="00833FF1" w:rsidRDefault="003935A3" w:rsidP="006F4107">
            <w:pPr>
              <w:jc w:val="both"/>
              <w:rPr>
                <w:b/>
                <w:u w:val="single"/>
              </w:rPr>
            </w:pPr>
          </w:p>
          <w:p w:rsidR="009D078A" w:rsidRPr="00DA6460" w:rsidRDefault="003935A3" w:rsidP="006F4107">
            <w:pPr>
              <w:jc w:val="both"/>
            </w:pPr>
            <w:r w:rsidRPr="00DA6460">
              <w:t xml:space="preserve">While C.S.H.B. </w:t>
            </w:r>
            <w:r>
              <w:t>3639</w:t>
            </w:r>
            <w:r w:rsidRPr="00DA6460">
              <w:t xml:space="preserve"> may differ from the original in minor or nonsubstantive ways, the following comparison is organized and formatted in a manner that indicates the substantial</w:t>
            </w:r>
            <w:r w:rsidRPr="00DA6460">
              <w:t xml:space="preserve"> differences between the introduced and committee substitute versions of the bill.</w:t>
            </w:r>
          </w:p>
          <w:p w:rsidR="009D078A" w:rsidRPr="000B37D4" w:rsidRDefault="003935A3" w:rsidP="006F4107">
            <w:pPr>
              <w:jc w:val="both"/>
              <w:rPr>
                <w:b/>
                <w:u w:val="single"/>
              </w:rPr>
            </w:pPr>
          </w:p>
        </w:tc>
      </w:tr>
      <w:tr w:rsidR="00AD52F2" w:rsidTr="000B37D4">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550"/>
              <w:gridCol w:w="4802"/>
            </w:tblGrid>
            <w:tr w:rsidR="00AD52F2" w:rsidTr="00B7170F">
              <w:trPr>
                <w:cantSplit/>
                <w:tblHeader/>
              </w:trPr>
              <w:tc>
                <w:tcPr>
                  <w:tcW w:w="4550" w:type="dxa"/>
                  <w:tcMar>
                    <w:bottom w:w="188" w:type="dxa"/>
                  </w:tcMar>
                </w:tcPr>
                <w:p w:rsidR="000B37D4" w:rsidRDefault="003935A3" w:rsidP="006F4107">
                  <w:pPr>
                    <w:jc w:val="center"/>
                  </w:pPr>
                  <w:r>
                    <w:t>INTRODUCED</w:t>
                  </w:r>
                </w:p>
              </w:tc>
              <w:tc>
                <w:tcPr>
                  <w:tcW w:w="4802" w:type="dxa"/>
                  <w:tcMar>
                    <w:bottom w:w="188" w:type="dxa"/>
                  </w:tcMar>
                </w:tcPr>
                <w:p w:rsidR="000B37D4" w:rsidRDefault="003935A3" w:rsidP="006F4107">
                  <w:pPr>
                    <w:jc w:val="center"/>
                  </w:pPr>
                  <w:r>
                    <w:t>HOUSE COMMITTEE SUBSTITUTE</w:t>
                  </w:r>
                </w:p>
              </w:tc>
            </w:tr>
            <w:tr w:rsidR="00AD52F2" w:rsidTr="00B7170F">
              <w:tc>
                <w:tcPr>
                  <w:tcW w:w="4550" w:type="dxa"/>
                  <w:tcMar>
                    <w:right w:w="360" w:type="dxa"/>
                  </w:tcMar>
                </w:tcPr>
                <w:p w:rsidR="00F8464A" w:rsidRDefault="003935A3" w:rsidP="006F4107">
                  <w:pPr>
                    <w:jc w:val="both"/>
                  </w:pPr>
                  <w:r>
                    <w:t>SECTION 1.  The heading to Section 352.051, Local Government Code, is amended to read as follows:</w:t>
                  </w:r>
                </w:p>
                <w:p w:rsidR="00F8464A" w:rsidRDefault="003935A3" w:rsidP="006F4107">
                  <w:pPr>
                    <w:jc w:val="both"/>
                  </w:pPr>
                  <w:r>
                    <w:t>Sec. 352.051.  REGULATION OF [</w:t>
                  </w:r>
                  <w:r>
                    <w:rPr>
                      <w:strike/>
                    </w:rPr>
                    <w:t>RESTRICTED</w:t>
                  </w:r>
                  <w:r>
                    <w:t>] FIREWORKS.</w:t>
                  </w:r>
                </w:p>
              </w:tc>
              <w:tc>
                <w:tcPr>
                  <w:tcW w:w="4802" w:type="dxa"/>
                  <w:tcMar>
                    <w:left w:w="360" w:type="dxa"/>
                  </w:tcMar>
                </w:tcPr>
                <w:p w:rsidR="00F8464A" w:rsidRDefault="003935A3" w:rsidP="006F4107">
                  <w:pPr>
                    <w:jc w:val="both"/>
                  </w:pPr>
                  <w:r w:rsidRPr="00B7170F">
                    <w:rPr>
                      <w:highlight w:val="lightGray"/>
                    </w:rPr>
                    <w:t>No equivalent provision.</w:t>
                  </w:r>
                </w:p>
              </w:tc>
            </w:tr>
            <w:tr w:rsidR="00AD52F2" w:rsidTr="00B7170F">
              <w:tc>
                <w:tcPr>
                  <w:tcW w:w="4550" w:type="dxa"/>
                  <w:tcMar>
                    <w:right w:w="360" w:type="dxa"/>
                  </w:tcMar>
                </w:tcPr>
                <w:p w:rsidR="00F8464A" w:rsidRDefault="003935A3" w:rsidP="006F4107">
                  <w:pPr>
                    <w:jc w:val="both"/>
                  </w:pPr>
                  <w:r>
                    <w:t>SECTION 2.  Sections 352.051(c), (f), and (g), Local Government Code, are amended to read as follows:</w:t>
                  </w:r>
                </w:p>
                <w:p w:rsidR="00F8464A" w:rsidRPr="00F8464A" w:rsidRDefault="003935A3" w:rsidP="006F4107">
                  <w:pPr>
                    <w:jc w:val="both"/>
                  </w:pPr>
                  <w:r w:rsidRPr="00F8464A">
                    <w:t xml:space="preserve">(c)  </w:t>
                  </w:r>
                  <w:r w:rsidRPr="00F8464A">
                    <w:rPr>
                      <w:u w:val="single"/>
                    </w:rPr>
                    <w:t>The</w:t>
                  </w:r>
                  <w:r w:rsidRPr="00F8464A">
                    <w:t xml:space="preserve"> [</w:t>
                  </w:r>
                  <w:r w:rsidRPr="00F8464A">
                    <w:rPr>
                      <w:strike/>
                    </w:rPr>
                    <w:t>Upon a determination under this section that drought conditions exist on average in a specified</w:t>
                  </w:r>
                  <w:r w:rsidRPr="00F8464A">
                    <w:rPr>
                      <w:strike/>
                    </w:rPr>
                    <w:t xml:space="preserve"> county, the</w:t>
                  </w:r>
                  <w:r w:rsidRPr="00F8464A">
                    <w:t xml:space="preserve">] commissioners court of </w:t>
                  </w:r>
                  <w:r w:rsidRPr="00F8464A">
                    <w:rPr>
                      <w:u w:val="single"/>
                    </w:rPr>
                    <w:t>a</w:t>
                  </w:r>
                  <w:r w:rsidRPr="00F8464A">
                    <w:t xml:space="preserve"> [</w:t>
                  </w:r>
                  <w:r w:rsidRPr="00F8464A">
                    <w:rPr>
                      <w:strike/>
                    </w:rPr>
                    <w:t>the</w:t>
                  </w:r>
                  <w:r w:rsidRPr="00F8464A">
                    <w:t>] county by order may prohibit or restrict the sale or use of [</w:t>
                  </w:r>
                  <w:r w:rsidRPr="00F8464A">
                    <w:rPr>
                      <w:strike/>
                    </w:rPr>
                    <w:t>restricted</w:t>
                  </w:r>
                  <w:r w:rsidRPr="00F8464A">
                    <w:t>] fireworks in the unincorporated area of the county.  [</w:t>
                  </w:r>
                  <w:r w:rsidRPr="00F8464A">
                    <w:rPr>
                      <w:strike/>
                    </w:rPr>
                    <w:t>In addition, during the December fireworks season, the commissioners court of a coun</w:t>
                  </w:r>
                  <w:r w:rsidRPr="00F8464A">
                    <w:rPr>
                      <w:strike/>
                    </w:rPr>
                    <w:t xml:space="preserve">ty by order may restrict or prohibit the sale or use of restricted fireworks in specified areas when conditions on rural acreage in the county not under cultivation for a period of at least 12 months are determined to be extremely hazardous for the danger </w:t>
                  </w:r>
                  <w:r w:rsidRPr="00F8464A">
                    <w:rPr>
                      <w:strike/>
                    </w:rPr>
                    <w:t>of fire because of high grass or dry vegetation.</w:t>
                  </w:r>
                  <w:r w:rsidRPr="00F8464A">
                    <w:t>]</w:t>
                  </w:r>
                </w:p>
                <w:p w:rsidR="00F8464A" w:rsidRPr="00F8464A" w:rsidRDefault="003935A3" w:rsidP="006F4107">
                  <w:pPr>
                    <w:jc w:val="both"/>
                  </w:pPr>
                  <w:r w:rsidRPr="00F8464A">
                    <w:t>(f)  When a county issues an order restricting or prohibiting the sale or use of [</w:t>
                  </w:r>
                  <w:r w:rsidRPr="00F8464A">
                    <w:rPr>
                      <w:strike/>
                    </w:rPr>
                    <w:t>restricted</w:t>
                  </w:r>
                  <w:r w:rsidRPr="00F8464A">
                    <w:t>] fireworks under this section, the county may designate one or more areas of appropriate size and accessibility i</w:t>
                  </w:r>
                  <w:r w:rsidRPr="00F8464A">
                    <w:t>n the county as safe areas where the use of [</w:t>
                  </w:r>
                  <w:r w:rsidRPr="00F8464A">
                    <w:rPr>
                      <w:strike/>
                    </w:rPr>
                    <w:t>restricted</w:t>
                  </w:r>
                  <w:r w:rsidRPr="00F8464A">
                    <w:t xml:space="preserve">] fireworks is not prohibited, and the legislature encourages a county to designate such an area for that purpose.  The safe area may be provided by the county, a municipality within the county, or an </w:t>
                  </w:r>
                  <w:r w:rsidRPr="00F8464A">
                    <w:t xml:space="preserve">individual, business, or corporation.  A safe area may be designated in and </w:t>
                  </w:r>
                  <w:r w:rsidRPr="00F8464A">
                    <w:lastRenderedPageBreak/>
                    <w:t>provided in the geographic area of the regulatory jurisdiction of a municipality if the activity conducted in the safe area is authorized by general law or a municipal regulation o</w:t>
                  </w:r>
                  <w:r w:rsidRPr="00F8464A">
                    <w:t>r ordinance.  An area is considered safe if adequate public safety and fire protection services are provided to the area.  A county, municipality, individual, business, or corporation is not liable for injuries or damages resulting from the designation, ma</w:t>
                  </w:r>
                  <w:r w:rsidRPr="00F8464A">
                    <w:t>intenance, or use of the safe area.</w:t>
                  </w:r>
                </w:p>
                <w:p w:rsidR="00F8464A" w:rsidRDefault="003935A3" w:rsidP="006F4107">
                  <w:pPr>
                    <w:jc w:val="both"/>
                  </w:pPr>
                  <w:r w:rsidRPr="00F8464A">
                    <w:t>(g)  A person selling [</w:t>
                  </w:r>
                  <w:r w:rsidRPr="00F8464A">
                    <w:rPr>
                      <w:strike/>
                    </w:rPr>
                    <w:t>any type of</w:t>
                  </w:r>
                  <w:r w:rsidRPr="00F8464A">
                    <w:t>] fireworks[</w:t>
                  </w:r>
                  <w:r w:rsidRPr="00F8464A">
                    <w:rPr>
                      <w:strike/>
                    </w:rPr>
                    <w:t>, including restricted fireworks,</w:t>
                  </w:r>
                  <w:r w:rsidRPr="00F8464A">
                    <w:t xml:space="preserve">] in a county that has adopted an order </w:t>
                  </w:r>
                  <w:r w:rsidRPr="00F8464A">
                    <w:rPr>
                      <w:u w:val="single"/>
                    </w:rPr>
                    <w:t>prohibiting or restricting the use of fireworks</w:t>
                  </w:r>
                  <w:r w:rsidRPr="00F8464A">
                    <w:t xml:space="preserve"> under Subsection (c) shall, at every location at whic</w:t>
                  </w:r>
                  <w:r w:rsidRPr="00F8464A">
                    <w:t>h the person sells fireworks in the county, provide reasonable notice of the order and reasonable notice of any location designated under Subsection (f) as a safe area.</w:t>
                  </w:r>
                </w:p>
              </w:tc>
              <w:tc>
                <w:tcPr>
                  <w:tcW w:w="4802" w:type="dxa"/>
                  <w:tcMar>
                    <w:left w:w="360" w:type="dxa"/>
                  </w:tcMar>
                </w:tcPr>
                <w:p w:rsidR="00F8464A" w:rsidRDefault="003935A3" w:rsidP="006F4107">
                  <w:pPr>
                    <w:jc w:val="both"/>
                  </w:pPr>
                  <w:r w:rsidRPr="00B7170F">
                    <w:rPr>
                      <w:highlight w:val="lightGray"/>
                    </w:rPr>
                    <w:lastRenderedPageBreak/>
                    <w:t>No equivalent provision.</w:t>
                  </w:r>
                  <w:r>
                    <w:t xml:space="preserve"> </w:t>
                  </w:r>
                  <w:r w:rsidRPr="00F8464A">
                    <w:rPr>
                      <w:i/>
                    </w:rPr>
                    <w:t>(But see SECTION 1 below.)</w:t>
                  </w:r>
                </w:p>
              </w:tc>
            </w:tr>
            <w:tr w:rsidR="00AD52F2" w:rsidTr="00B7170F">
              <w:tc>
                <w:tcPr>
                  <w:tcW w:w="4550" w:type="dxa"/>
                  <w:tcMar>
                    <w:right w:w="360" w:type="dxa"/>
                  </w:tcMar>
                </w:tcPr>
                <w:p w:rsidR="00F8464A" w:rsidRDefault="003935A3" w:rsidP="006F4107">
                  <w:pPr>
                    <w:jc w:val="both"/>
                  </w:pPr>
                  <w:r>
                    <w:lastRenderedPageBreak/>
                    <w:t xml:space="preserve">SECTION 3.  Sections 352.051(a), </w:t>
                  </w:r>
                  <w:r>
                    <w:t>(b), (e), and (j), Local Government Code, are repealed.</w:t>
                  </w:r>
                </w:p>
              </w:tc>
              <w:tc>
                <w:tcPr>
                  <w:tcW w:w="4802" w:type="dxa"/>
                  <w:tcMar>
                    <w:left w:w="360" w:type="dxa"/>
                  </w:tcMar>
                </w:tcPr>
                <w:p w:rsidR="00F8464A" w:rsidRDefault="003935A3" w:rsidP="006F4107">
                  <w:pPr>
                    <w:jc w:val="both"/>
                  </w:pPr>
                  <w:r w:rsidRPr="00B7170F">
                    <w:rPr>
                      <w:highlight w:val="lightGray"/>
                    </w:rPr>
                    <w:t>No equivalent provision.</w:t>
                  </w:r>
                  <w:r>
                    <w:t xml:space="preserve"> </w:t>
                  </w:r>
                  <w:r w:rsidRPr="00F8464A">
                    <w:rPr>
                      <w:i/>
                    </w:rPr>
                    <w:t>(But see SECTION 1 below.)</w:t>
                  </w:r>
                </w:p>
              </w:tc>
            </w:tr>
            <w:tr w:rsidR="00AD52F2" w:rsidTr="00B7170F">
              <w:tc>
                <w:tcPr>
                  <w:tcW w:w="4550" w:type="dxa"/>
                  <w:tcMar>
                    <w:right w:w="360" w:type="dxa"/>
                  </w:tcMar>
                </w:tcPr>
                <w:p w:rsidR="000B37D4" w:rsidRDefault="003935A3" w:rsidP="006F4107">
                  <w:pPr>
                    <w:jc w:val="both"/>
                  </w:pPr>
                  <w:r w:rsidRPr="00B7170F">
                    <w:rPr>
                      <w:highlight w:val="lightGray"/>
                    </w:rPr>
                    <w:t>No equivalent provision.</w:t>
                  </w:r>
                  <w:r>
                    <w:t xml:space="preserve"> </w:t>
                  </w:r>
                  <w:r w:rsidRPr="00F8464A">
                    <w:rPr>
                      <w:i/>
                    </w:rPr>
                    <w:t>(But see SECTION</w:t>
                  </w:r>
                  <w:r>
                    <w:rPr>
                      <w:i/>
                    </w:rPr>
                    <w:t>S</w:t>
                  </w:r>
                  <w:r w:rsidRPr="00F8464A">
                    <w:rPr>
                      <w:i/>
                    </w:rPr>
                    <w:t xml:space="preserve"> </w:t>
                  </w:r>
                  <w:r>
                    <w:rPr>
                      <w:i/>
                    </w:rPr>
                    <w:t>2 and 3</w:t>
                  </w:r>
                  <w:r w:rsidRPr="00F8464A">
                    <w:rPr>
                      <w:i/>
                    </w:rPr>
                    <w:t xml:space="preserve"> </w:t>
                  </w:r>
                  <w:r>
                    <w:rPr>
                      <w:i/>
                    </w:rPr>
                    <w:t>above</w:t>
                  </w:r>
                  <w:r w:rsidRPr="00F8464A">
                    <w:rPr>
                      <w:i/>
                    </w:rPr>
                    <w:t>.)</w:t>
                  </w:r>
                </w:p>
              </w:tc>
              <w:tc>
                <w:tcPr>
                  <w:tcW w:w="4802" w:type="dxa"/>
                  <w:tcMar>
                    <w:left w:w="360" w:type="dxa"/>
                  </w:tcMar>
                </w:tcPr>
                <w:p w:rsidR="00B7170F" w:rsidRDefault="003935A3" w:rsidP="006F4107">
                  <w:pPr>
                    <w:jc w:val="both"/>
                  </w:pPr>
                  <w:r>
                    <w:t>SECTION 1.  Section 352.051, Local Government Code, is amended by adding Subsection (a-1</w:t>
                  </w:r>
                  <w:r>
                    <w:t>) to read as follows:</w:t>
                  </w:r>
                </w:p>
                <w:p w:rsidR="000B37D4" w:rsidRDefault="003935A3" w:rsidP="006F4107">
                  <w:pPr>
                    <w:jc w:val="both"/>
                  </w:pPr>
                  <w:r w:rsidRPr="009D078A">
                    <w:rPr>
                      <w:u w:val="single"/>
                    </w:rPr>
                    <w:t>(a-1)  This section does not apply to a county subject to Section 360.001.</w:t>
                  </w:r>
                </w:p>
              </w:tc>
            </w:tr>
            <w:tr w:rsidR="00AD52F2" w:rsidTr="00B7170F">
              <w:tc>
                <w:tcPr>
                  <w:tcW w:w="4550" w:type="dxa"/>
                  <w:tcMar>
                    <w:right w:w="360" w:type="dxa"/>
                  </w:tcMar>
                </w:tcPr>
                <w:p w:rsidR="000B37D4" w:rsidRDefault="003935A3" w:rsidP="006F4107">
                  <w:pPr>
                    <w:jc w:val="both"/>
                  </w:pPr>
                  <w:r w:rsidRPr="00B7170F">
                    <w:rPr>
                      <w:highlight w:val="lightGray"/>
                    </w:rPr>
                    <w:t>No equivalent provision.</w:t>
                  </w:r>
                </w:p>
                <w:p w:rsidR="000B37D4" w:rsidRDefault="003935A3" w:rsidP="006F4107">
                  <w:pPr>
                    <w:jc w:val="both"/>
                  </w:pPr>
                </w:p>
              </w:tc>
              <w:tc>
                <w:tcPr>
                  <w:tcW w:w="4802" w:type="dxa"/>
                  <w:tcMar>
                    <w:left w:w="360" w:type="dxa"/>
                  </w:tcMar>
                </w:tcPr>
                <w:p w:rsidR="00B7170F" w:rsidRDefault="003935A3" w:rsidP="006F4107">
                  <w:pPr>
                    <w:jc w:val="both"/>
                  </w:pPr>
                  <w:r>
                    <w:t>SECTION 2.  Subtitle B, Title 11, Local Government Code, is amended by adding Chapter 360 to read as follows:</w:t>
                  </w:r>
                </w:p>
                <w:p w:rsidR="00B7170F" w:rsidRPr="009D078A" w:rsidRDefault="003935A3" w:rsidP="006F4107">
                  <w:pPr>
                    <w:jc w:val="both"/>
                  </w:pPr>
                  <w:r w:rsidRPr="009D078A">
                    <w:rPr>
                      <w:u w:val="single"/>
                    </w:rPr>
                    <w:t xml:space="preserve">CHAPTER 360.  </w:t>
                  </w:r>
                  <w:r w:rsidRPr="009D078A">
                    <w:rPr>
                      <w:u w:val="single"/>
                    </w:rPr>
                    <w:t>MISCELLANEOUS PROVISIONS RELATING TO COUNTY PUBLIC SAFETY</w:t>
                  </w:r>
                </w:p>
                <w:p w:rsidR="00B7170F" w:rsidRPr="009D078A" w:rsidRDefault="003935A3" w:rsidP="006F4107">
                  <w:pPr>
                    <w:jc w:val="both"/>
                  </w:pPr>
                  <w:r w:rsidRPr="009D078A">
                    <w:rPr>
                      <w:u w:val="single"/>
                    </w:rPr>
                    <w:t>Sec. 360.001.  REGULATION OF FIREWORKS STANDS IN CERTAIN POPULOUS COUNTIES.  (a)  In this section:</w:t>
                  </w:r>
                </w:p>
                <w:p w:rsidR="00B7170F" w:rsidRPr="009D078A" w:rsidRDefault="003935A3" w:rsidP="006F4107">
                  <w:pPr>
                    <w:jc w:val="both"/>
                  </w:pPr>
                  <w:r w:rsidRPr="009D078A">
                    <w:rPr>
                      <w:u w:val="single"/>
                    </w:rPr>
                    <w:t>(1)  "Retail fireworks site" means a retail location for which a person has obtained a current reta</w:t>
                  </w:r>
                  <w:r w:rsidRPr="009D078A">
                    <w:rPr>
                      <w:u w:val="single"/>
                    </w:rPr>
                    <w:t>il fireworks permit under Section 2154.202, Occupations Code, to sell fireworks.</w:t>
                  </w:r>
                </w:p>
                <w:p w:rsidR="00B7170F" w:rsidRPr="009D078A" w:rsidRDefault="003935A3" w:rsidP="006F4107">
                  <w:pPr>
                    <w:jc w:val="both"/>
                  </w:pPr>
                  <w:r w:rsidRPr="009D078A">
                    <w:rPr>
                      <w:u w:val="single"/>
                    </w:rPr>
                    <w:t>(2)  "Retail fireworks stand" means a structure that is a retail fireworks site from which fireworks are sold over the counter to members of the general public who always rema</w:t>
                  </w:r>
                  <w:r w:rsidRPr="009D078A">
                    <w:rPr>
                      <w:u w:val="single"/>
                    </w:rPr>
                    <w:t>in outside of the structure.</w:t>
                  </w:r>
                </w:p>
                <w:p w:rsidR="00B7170F" w:rsidRPr="009D078A" w:rsidRDefault="003935A3" w:rsidP="006F4107">
                  <w:pPr>
                    <w:jc w:val="both"/>
                  </w:pPr>
                  <w:r w:rsidRPr="009D078A">
                    <w:rPr>
                      <w:u w:val="single"/>
                    </w:rPr>
                    <w:t>(b)  This section applies only to the unincorporated area of a county with a population of more than 1.5 million in which more than 75 percent of the population lives in a single municipality.</w:t>
                  </w:r>
                </w:p>
                <w:p w:rsidR="00B7170F" w:rsidRPr="009D078A" w:rsidRDefault="003935A3" w:rsidP="006F4107">
                  <w:pPr>
                    <w:jc w:val="both"/>
                  </w:pPr>
                  <w:r w:rsidRPr="009D078A">
                    <w:rPr>
                      <w:u w:val="single"/>
                    </w:rPr>
                    <w:t xml:space="preserve">(c)  A retail fireworks stand may </w:t>
                  </w:r>
                  <w:r w:rsidRPr="009D078A">
                    <w:rPr>
                      <w:u w:val="single"/>
                    </w:rPr>
                    <w:t>not be located:</w:t>
                  </w:r>
                </w:p>
                <w:p w:rsidR="00B7170F" w:rsidRPr="009D078A" w:rsidRDefault="003935A3" w:rsidP="006F4107">
                  <w:pPr>
                    <w:jc w:val="both"/>
                  </w:pPr>
                  <w:r w:rsidRPr="009D078A">
                    <w:rPr>
                      <w:u w:val="single"/>
                    </w:rPr>
                    <w:t>(1)  within 2,500 feet of the corporate boundary of a municipality; or</w:t>
                  </w:r>
                </w:p>
                <w:p w:rsidR="00B7170F" w:rsidRPr="009D078A" w:rsidRDefault="003935A3" w:rsidP="006F4107">
                  <w:pPr>
                    <w:jc w:val="both"/>
                  </w:pPr>
                  <w:r w:rsidRPr="009D078A">
                    <w:rPr>
                      <w:u w:val="single"/>
                    </w:rPr>
                    <w:t>(2)  within 500 feet of any residential property.</w:t>
                  </w:r>
                </w:p>
                <w:p w:rsidR="00B7170F" w:rsidRPr="009D078A" w:rsidRDefault="003935A3" w:rsidP="006F4107">
                  <w:pPr>
                    <w:jc w:val="both"/>
                  </w:pPr>
                  <w:r w:rsidRPr="009D078A">
                    <w:rPr>
                      <w:u w:val="single"/>
                    </w:rPr>
                    <w:t xml:space="preserve">(d)  The person who obtains a retail fireworks permit under Section 2154.202, Occupations Code, applicable to a retail </w:t>
                  </w:r>
                  <w:r w:rsidRPr="009D078A">
                    <w:rPr>
                      <w:u w:val="single"/>
                    </w:rPr>
                    <w:t>fireworks stand shall ensure that a sign is conspicuously posted on the outside of the stand that provides contact information, including a mailing address, where a member of the public may submit a complaint to the county fire marshal relating to any alle</w:t>
                  </w:r>
                  <w:r w:rsidRPr="009D078A">
                    <w:rPr>
                      <w:u w:val="single"/>
                    </w:rPr>
                    <w:t>ged unsafe operation of the stand or any alleged nuisance resulting from the operation of the stand.  The sign must be at least 24 inches high by 36 inches wide and must be printed in lettering at least two inches high.  The commissioners court of a county</w:t>
                  </w:r>
                  <w:r w:rsidRPr="009D078A">
                    <w:rPr>
                      <w:u w:val="single"/>
                    </w:rPr>
                    <w:t xml:space="preserve"> by order may require additional signs to be provided in a language other than English if the commissioners court determines that it is likely that a substantial number of residents of the unincorporated area speak a language other than English as their fa</w:t>
                  </w:r>
                  <w:r w:rsidRPr="009D078A">
                    <w:rPr>
                      <w:u w:val="single"/>
                    </w:rPr>
                    <w:t>miliar language.</w:t>
                  </w:r>
                </w:p>
                <w:p w:rsidR="00B7170F" w:rsidRPr="009D078A" w:rsidRDefault="003935A3" w:rsidP="006F4107">
                  <w:pPr>
                    <w:jc w:val="both"/>
                  </w:pPr>
                  <w:r w:rsidRPr="009D078A">
                    <w:rPr>
                      <w:u w:val="single"/>
                    </w:rPr>
                    <w:t xml:space="preserve">(e)  If the county fire marshal receives a complaint from a member of the public as provided for under Subsection (d), the county fire marshal shall make a determination whether the complaint is valid and promptly notify the permit holder </w:t>
                  </w:r>
                  <w:r w:rsidRPr="009D078A">
                    <w:rPr>
                      <w:u w:val="single"/>
                    </w:rPr>
                    <w:t>for the retail fireworks stand.</w:t>
                  </w:r>
                </w:p>
                <w:p w:rsidR="00B7170F" w:rsidRPr="009D078A" w:rsidRDefault="003935A3" w:rsidP="006F4107">
                  <w:pPr>
                    <w:jc w:val="both"/>
                  </w:pPr>
                  <w:r w:rsidRPr="009D078A">
                    <w:rPr>
                      <w:u w:val="single"/>
                    </w:rPr>
                    <w:t>(f)  The permit holder shall cooperate with the county fire marshal to resolve each complaint determined valid by the county fire marshal under Subsection (e).  Not later than the third business day after the date the county</w:t>
                  </w:r>
                  <w:r w:rsidRPr="009D078A">
                    <w:rPr>
                      <w:u w:val="single"/>
                    </w:rPr>
                    <w:t xml:space="preserve"> fire marshal notifies the permit holder that a complaint is valid, the permit holder must resolve the complaint or remove the retail fireworks stand.</w:t>
                  </w:r>
                </w:p>
                <w:p w:rsidR="00B7170F" w:rsidRPr="009D078A" w:rsidRDefault="003935A3" w:rsidP="006F4107">
                  <w:pPr>
                    <w:jc w:val="both"/>
                  </w:pPr>
                  <w:r w:rsidRPr="009D078A">
                    <w:rPr>
                      <w:u w:val="single"/>
                    </w:rPr>
                    <w:t xml:space="preserve">(g)  A permit holder who fails to take appropriate action within the period prescribed by Subsection (f) </w:t>
                  </w:r>
                  <w:r w:rsidRPr="009D078A">
                    <w:rPr>
                      <w:u w:val="single"/>
                    </w:rPr>
                    <w:t>commits an offense.  An offense under this subsection is a Class C misdemeanor.</w:t>
                  </w:r>
                </w:p>
                <w:p w:rsidR="00B7170F" w:rsidRPr="009D078A" w:rsidRDefault="003935A3" w:rsidP="006F4107">
                  <w:pPr>
                    <w:jc w:val="both"/>
                  </w:pPr>
                  <w:r w:rsidRPr="009D078A">
                    <w:rPr>
                      <w:u w:val="single"/>
                    </w:rPr>
                    <w:t>(h)  A person who knowingly files a baseless complaint under this section commits an offense.  The penalty for a first offense under this subsection is a warning citation.  A s</w:t>
                  </w:r>
                  <w:r w:rsidRPr="009D078A">
                    <w:rPr>
                      <w:u w:val="single"/>
                    </w:rPr>
                    <w:t>ubsequent offense under this subsection is a Class C misdemeanor.</w:t>
                  </w:r>
                </w:p>
                <w:p w:rsidR="000B37D4" w:rsidRDefault="003935A3" w:rsidP="006F4107">
                  <w:pPr>
                    <w:jc w:val="both"/>
                  </w:pPr>
                  <w:r w:rsidRPr="009D078A">
                    <w:rPr>
                      <w:u w:val="single"/>
                    </w:rPr>
                    <w:t>(i)  The structure for a retail fireworks stand may not be placed on a site more than 15 days before fireworks are authorized for sale by law.  The structure for a retail fireworks stand mus</w:t>
                  </w:r>
                  <w:r w:rsidRPr="009D078A">
                    <w:rPr>
                      <w:u w:val="single"/>
                    </w:rPr>
                    <w:t>t be removed from a site not later than 15 days after the last day fireworks are authorized for sale by law.</w:t>
                  </w:r>
                </w:p>
              </w:tc>
            </w:tr>
            <w:tr w:rsidR="00AD52F2" w:rsidTr="00B7170F">
              <w:tc>
                <w:tcPr>
                  <w:tcW w:w="4550" w:type="dxa"/>
                  <w:tcMar>
                    <w:right w:w="360" w:type="dxa"/>
                  </w:tcMar>
                </w:tcPr>
                <w:p w:rsidR="00B7170F" w:rsidRDefault="003935A3" w:rsidP="006F4107">
                  <w:pPr>
                    <w:jc w:val="both"/>
                  </w:pPr>
                  <w:r>
                    <w:t>SECTION 4.  This Act takes effect immediately if it receives a vote of two-thirds of all the members elected to each house, as provided by Section</w:t>
                  </w:r>
                  <w:r>
                    <w:t xml:space="preserve"> 39, Article III, Texas Constitution.  If this Act does not receive the vote necessary for immediate effect, this Act takes effect September 1, 2017.</w:t>
                  </w:r>
                </w:p>
              </w:tc>
              <w:tc>
                <w:tcPr>
                  <w:tcW w:w="4802" w:type="dxa"/>
                  <w:tcMar>
                    <w:left w:w="360" w:type="dxa"/>
                  </w:tcMar>
                </w:tcPr>
                <w:p w:rsidR="00B7170F" w:rsidRDefault="003935A3" w:rsidP="006F4107">
                  <w:pPr>
                    <w:jc w:val="both"/>
                  </w:pPr>
                  <w:r>
                    <w:t>SECTION 3. Same as introduced version.</w:t>
                  </w:r>
                </w:p>
                <w:p w:rsidR="00B7170F" w:rsidRDefault="003935A3" w:rsidP="006F4107">
                  <w:pPr>
                    <w:jc w:val="both"/>
                  </w:pPr>
                </w:p>
                <w:p w:rsidR="00B7170F" w:rsidRDefault="003935A3" w:rsidP="006F4107">
                  <w:pPr>
                    <w:jc w:val="both"/>
                  </w:pPr>
                </w:p>
              </w:tc>
            </w:tr>
            <w:tr w:rsidR="00AD52F2" w:rsidTr="00B7170F">
              <w:tc>
                <w:tcPr>
                  <w:tcW w:w="4550" w:type="dxa"/>
                  <w:tcMar>
                    <w:right w:w="360" w:type="dxa"/>
                  </w:tcMar>
                </w:tcPr>
                <w:p w:rsidR="00B7170F" w:rsidRDefault="003935A3" w:rsidP="006F4107">
                  <w:pPr>
                    <w:jc w:val="both"/>
                  </w:pPr>
                </w:p>
              </w:tc>
              <w:tc>
                <w:tcPr>
                  <w:tcW w:w="4802" w:type="dxa"/>
                  <w:tcMar>
                    <w:left w:w="360" w:type="dxa"/>
                  </w:tcMar>
                </w:tcPr>
                <w:p w:rsidR="00B7170F" w:rsidRDefault="003935A3" w:rsidP="006F4107">
                  <w:pPr>
                    <w:jc w:val="both"/>
                  </w:pPr>
                </w:p>
              </w:tc>
            </w:tr>
            <w:tr w:rsidR="00AD52F2" w:rsidTr="00B7170F">
              <w:tc>
                <w:tcPr>
                  <w:tcW w:w="4550" w:type="dxa"/>
                  <w:tcMar>
                    <w:right w:w="360" w:type="dxa"/>
                  </w:tcMar>
                </w:tcPr>
                <w:p w:rsidR="00B7170F" w:rsidRDefault="003935A3" w:rsidP="006F4107">
                  <w:pPr>
                    <w:jc w:val="both"/>
                  </w:pPr>
                </w:p>
              </w:tc>
              <w:tc>
                <w:tcPr>
                  <w:tcW w:w="4802" w:type="dxa"/>
                  <w:tcMar>
                    <w:left w:w="360" w:type="dxa"/>
                  </w:tcMar>
                </w:tcPr>
                <w:p w:rsidR="00B7170F" w:rsidRDefault="003935A3" w:rsidP="006F4107">
                  <w:pPr>
                    <w:jc w:val="both"/>
                  </w:pPr>
                </w:p>
              </w:tc>
            </w:tr>
          </w:tbl>
          <w:p w:rsidR="000B37D4" w:rsidRDefault="003935A3" w:rsidP="006F4107"/>
          <w:p w:rsidR="00B56517" w:rsidRPr="009C1E9A" w:rsidRDefault="003935A3" w:rsidP="006F4107">
            <w:pPr>
              <w:rPr>
                <w:b/>
                <w:u w:val="single"/>
              </w:rPr>
            </w:pPr>
          </w:p>
        </w:tc>
      </w:tr>
      <w:tr w:rsidR="00AD52F2" w:rsidTr="000B37D4">
        <w:tc>
          <w:tcPr>
            <w:tcW w:w="9588" w:type="dxa"/>
          </w:tcPr>
          <w:p w:rsidR="000B37D4" w:rsidRDefault="003935A3" w:rsidP="006F4107"/>
        </w:tc>
      </w:tr>
      <w:tr w:rsidR="00AD52F2" w:rsidTr="000B37D4">
        <w:tc>
          <w:tcPr>
            <w:tcW w:w="9588" w:type="dxa"/>
          </w:tcPr>
          <w:p w:rsidR="000B37D4" w:rsidRDefault="003935A3" w:rsidP="006F4107">
            <w:pPr>
              <w:jc w:val="center"/>
            </w:pPr>
          </w:p>
        </w:tc>
      </w:tr>
    </w:tbl>
    <w:p w:rsidR="004108C3" w:rsidRPr="008423E4" w:rsidRDefault="003935A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35A3">
      <w:r>
        <w:separator/>
      </w:r>
    </w:p>
  </w:endnote>
  <w:endnote w:type="continuationSeparator" w:id="0">
    <w:p w:rsidR="00000000" w:rsidRDefault="0039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D52F2" w:rsidTr="009C1E9A">
      <w:trPr>
        <w:cantSplit/>
      </w:trPr>
      <w:tc>
        <w:tcPr>
          <w:tcW w:w="0" w:type="pct"/>
        </w:tcPr>
        <w:p w:rsidR="00137D90" w:rsidRDefault="003935A3" w:rsidP="009C1E9A">
          <w:pPr>
            <w:pStyle w:val="Footer"/>
            <w:tabs>
              <w:tab w:val="clear" w:pos="8640"/>
              <w:tab w:val="right" w:pos="9360"/>
            </w:tabs>
          </w:pPr>
        </w:p>
      </w:tc>
      <w:tc>
        <w:tcPr>
          <w:tcW w:w="2395" w:type="pct"/>
        </w:tcPr>
        <w:p w:rsidR="00137D90" w:rsidRDefault="003935A3" w:rsidP="009C1E9A">
          <w:pPr>
            <w:pStyle w:val="Footer"/>
            <w:tabs>
              <w:tab w:val="clear" w:pos="8640"/>
              <w:tab w:val="right" w:pos="9360"/>
            </w:tabs>
          </w:pPr>
        </w:p>
        <w:p w:rsidR="001A4310" w:rsidRDefault="003935A3" w:rsidP="009C1E9A">
          <w:pPr>
            <w:pStyle w:val="Footer"/>
            <w:tabs>
              <w:tab w:val="clear" w:pos="8640"/>
              <w:tab w:val="right" w:pos="9360"/>
            </w:tabs>
          </w:pPr>
        </w:p>
        <w:p w:rsidR="00137D90" w:rsidRDefault="003935A3" w:rsidP="009C1E9A">
          <w:pPr>
            <w:pStyle w:val="Footer"/>
            <w:tabs>
              <w:tab w:val="clear" w:pos="8640"/>
              <w:tab w:val="right" w:pos="9360"/>
            </w:tabs>
          </w:pPr>
        </w:p>
      </w:tc>
      <w:tc>
        <w:tcPr>
          <w:tcW w:w="2453" w:type="pct"/>
        </w:tcPr>
        <w:p w:rsidR="00137D90" w:rsidRDefault="003935A3" w:rsidP="009C1E9A">
          <w:pPr>
            <w:pStyle w:val="Footer"/>
            <w:tabs>
              <w:tab w:val="clear" w:pos="8640"/>
              <w:tab w:val="right" w:pos="9360"/>
            </w:tabs>
            <w:jc w:val="right"/>
          </w:pPr>
        </w:p>
      </w:tc>
    </w:tr>
    <w:tr w:rsidR="00AD52F2" w:rsidTr="009C1E9A">
      <w:trPr>
        <w:cantSplit/>
      </w:trPr>
      <w:tc>
        <w:tcPr>
          <w:tcW w:w="0" w:type="pct"/>
        </w:tcPr>
        <w:p w:rsidR="00EC379B" w:rsidRDefault="003935A3" w:rsidP="009C1E9A">
          <w:pPr>
            <w:pStyle w:val="Footer"/>
            <w:tabs>
              <w:tab w:val="clear" w:pos="8640"/>
              <w:tab w:val="right" w:pos="9360"/>
            </w:tabs>
          </w:pPr>
        </w:p>
      </w:tc>
      <w:tc>
        <w:tcPr>
          <w:tcW w:w="2395" w:type="pct"/>
        </w:tcPr>
        <w:p w:rsidR="00EC379B" w:rsidRPr="009C1E9A" w:rsidRDefault="003935A3" w:rsidP="009C1E9A">
          <w:pPr>
            <w:pStyle w:val="Footer"/>
            <w:tabs>
              <w:tab w:val="clear" w:pos="8640"/>
              <w:tab w:val="right" w:pos="9360"/>
            </w:tabs>
            <w:rPr>
              <w:rFonts w:ascii="Shruti" w:hAnsi="Shruti"/>
              <w:sz w:val="22"/>
            </w:rPr>
          </w:pPr>
          <w:r>
            <w:rPr>
              <w:rFonts w:ascii="Shruti" w:hAnsi="Shruti"/>
              <w:sz w:val="22"/>
            </w:rPr>
            <w:t>85R 28291</w:t>
          </w:r>
        </w:p>
      </w:tc>
      <w:tc>
        <w:tcPr>
          <w:tcW w:w="2453" w:type="pct"/>
        </w:tcPr>
        <w:p w:rsidR="00EC379B" w:rsidRDefault="003935A3" w:rsidP="009C1E9A">
          <w:pPr>
            <w:pStyle w:val="Footer"/>
            <w:tabs>
              <w:tab w:val="clear" w:pos="8640"/>
              <w:tab w:val="right" w:pos="9360"/>
            </w:tabs>
            <w:jc w:val="right"/>
          </w:pPr>
          <w:r>
            <w:fldChar w:fldCharType="begin"/>
          </w:r>
          <w:r>
            <w:instrText xml:space="preserve"> DOCPROPERTY  OTID  \* MERGEFORMAT </w:instrText>
          </w:r>
          <w:r>
            <w:fldChar w:fldCharType="separate"/>
          </w:r>
          <w:r>
            <w:t>17.124.228</w:t>
          </w:r>
          <w:r>
            <w:fldChar w:fldCharType="end"/>
          </w:r>
        </w:p>
      </w:tc>
    </w:tr>
    <w:tr w:rsidR="00AD52F2" w:rsidTr="009C1E9A">
      <w:trPr>
        <w:cantSplit/>
      </w:trPr>
      <w:tc>
        <w:tcPr>
          <w:tcW w:w="0" w:type="pct"/>
        </w:tcPr>
        <w:p w:rsidR="00EC379B" w:rsidRDefault="003935A3" w:rsidP="009C1E9A">
          <w:pPr>
            <w:pStyle w:val="Footer"/>
            <w:tabs>
              <w:tab w:val="clear" w:pos="4320"/>
              <w:tab w:val="clear" w:pos="8640"/>
              <w:tab w:val="left" w:pos="2865"/>
            </w:tabs>
          </w:pPr>
        </w:p>
      </w:tc>
      <w:tc>
        <w:tcPr>
          <w:tcW w:w="2395" w:type="pct"/>
        </w:tcPr>
        <w:p w:rsidR="00EC379B" w:rsidRPr="009C1E9A" w:rsidRDefault="003935A3" w:rsidP="009C1E9A">
          <w:pPr>
            <w:pStyle w:val="Footer"/>
            <w:tabs>
              <w:tab w:val="clear" w:pos="4320"/>
              <w:tab w:val="clear" w:pos="8640"/>
              <w:tab w:val="left" w:pos="2865"/>
            </w:tabs>
            <w:rPr>
              <w:rFonts w:ascii="Shruti" w:hAnsi="Shruti"/>
              <w:sz w:val="22"/>
            </w:rPr>
          </w:pPr>
          <w:r>
            <w:rPr>
              <w:rFonts w:ascii="Shruti" w:hAnsi="Shruti"/>
              <w:sz w:val="22"/>
            </w:rPr>
            <w:t>Substitute Document Number: 85R 27356</w:t>
          </w:r>
        </w:p>
      </w:tc>
      <w:tc>
        <w:tcPr>
          <w:tcW w:w="2453" w:type="pct"/>
        </w:tcPr>
        <w:p w:rsidR="00EC379B" w:rsidRDefault="003935A3" w:rsidP="006D504F">
          <w:pPr>
            <w:pStyle w:val="Footer"/>
            <w:rPr>
              <w:rStyle w:val="PageNumber"/>
            </w:rPr>
          </w:pPr>
        </w:p>
        <w:p w:rsidR="00EC379B" w:rsidRDefault="003935A3" w:rsidP="009C1E9A">
          <w:pPr>
            <w:pStyle w:val="Footer"/>
            <w:tabs>
              <w:tab w:val="clear" w:pos="8640"/>
              <w:tab w:val="right" w:pos="9360"/>
            </w:tabs>
            <w:jc w:val="right"/>
          </w:pPr>
        </w:p>
      </w:tc>
    </w:tr>
    <w:tr w:rsidR="00AD52F2" w:rsidTr="009C1E9A">
      <w:trPr>
        <w:cantSplit/>
        <w:trHeight w:val="323"/>
      </w:trPr>
      <w:tc>
        <w:tcPr>
          <w:tcW w:w="0" w:type="pct"/>
          <w:gridSpan w:val="3"/>
        </w:tcPr>
        <w:p w:rsidR="00EC379B" w:rsidRDefault="003935A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935A3" w:rsidP="009C1E9A">
          <w:pPr>
            <w:pStyle w:val="Footer"/>
            <w:tabs>
              <w:tab w:val="clear" w:pos="8640"/>
              <w:tab w:val="right" w:pos="9360"/>
            </w:tabs>
            <w:jc w:val="center"/>
          </w:pPr>
        </w:p>
      </w:tc>
    </w:tr>
  </w:tbl>
  <w:p w:rsidR="00EC379B" w:rsidRPr="00FF6F72" w:rsidRDefault="003935A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35A3">
      <w:r>
        <w:separator/>
      </w:r>
    </w:p>
  </w:footnote>
  <w:footnote w:type="continuationSeparator" w:id="0">
    <w:p w:rsidR="00000000" w:rsidRDefault="00393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F2"/>
    <w:rsid w:val="003935A3"/>
    <w:rsid w:val="00AD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C3A60"/>
    <w:rPr>
      <w:sz w:val="16"/>
      <w:szCs w:val="16"/>
    </w:rPr>
  </w:style>
  <w:style w:type="paragraph" w:styleId="CommentText">
    <w:name w:val="annotation text"/>
    <w:basedOn w:val="Normal"/>
    <w:link w:val="CommentTextChar"/>
    <w:rsid w:val="00FC3A60"/>
    <w:rPr>
      <w:sz w:val="20"/>
      <w:szCs w:val="20"/>
    </w:rPr>
  </w:style>
  <w:style w:type="character" w:customStyle="1" w:styleId="CommentTextChar">
    <w:name w:val="Comment Text Char"/>
    <w:basedOn w:val="DefaultParagraphFont"/>
    <w:link w:val="CommentText"/>
    <w:rsid w:val="00FC3A60"/>
  </w:style>
  <w:style w:type="paragraph" w:styleId="CommentSubject">
    <w:name w:val="annotation subject"/>
    <w:basedOn w:val="CommentText"/>
    <w:next w:val="CommentText"/>
    <w:link w:val="CommentSubjectChar"/>
    <w:rsid w:val="00FC3A60"/>
    <w:rPr>
      <w:b/>
      <w:bCs/>
    </w:rPr>
  </w:style>
  <w:style w:type="character" w:customStyle="1" w:styleId="CommentSubjectChar">
    <w:name w:val="Comment Subject Char"/>
    <w:basedOn w:val="CommentTextChar"/>
    <w:link w:val="CommentSubject"/>
    <w:rsid w:val="00FC3A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C3A60"/>
    <w:rPr>
      <w:sz w:val="16"/>
      <w:szCs w:val="16"/>
    </w:rPr>
  </w:style>
  <w:style w:type="paragraph" w:styleId="CommentText">
    <w:name w:val="annotation text"/>
    <w:basedOn w:val="Normal"/>
    <w:link w:val="CommentTextChar"/>
    <w:rsid w:val="00FC3A60"/>
    <w:rPr>
      <w:sz w:val="20"/>
      <w:szCs w:val="20"/>
    </w:rPr>
  </w:style>
  <w:style w:type="character" w:customStyle="1" w:styleId="CommentTextChar">
    <w:name w:val="Comment Text Char"/>
    <w:basedOn w:val="DefaultParagraphFont"/>
    <w:link w:val="CommentText"/>
    <w:rsid w:val="00FC3A60"/>
  </w:style>
  <w:style w:type="paragraph" w:styleId="CommentSubject">
    <w:name w:val="annotation subject"/>
    <w:basedOn w:val="CommentText"/>
    <w:next w:val="CommentText"/>
    <w:link w:val="CommentSubjectChar"/>
    <w:rsid w:val="00FC3A60"/>
    <w:rPr>
      <w:b/>
      <w:bCs/>
    </w:rPr>
  </w:style>
  <w:style w:type="character" w:customStyle="1" w:styleId="CommentSubjectChar">
    <w:name w:val="Comment Subject Char"/>
    <w:basedOn w:val="CommentTextChar"/>
    <w:link w:val="CommentSubject"/>
    <w:rsid w:val="00FC3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1677</Words>
  <Characters>8623</Characters>
  <Application>Microsoft Office Word</Application>
  <DocSecurity>4</DocSecurity>
  <Lines>254</Lines>
  <Paragraphs>51</Paragraphs>
  <ScaleCrop>false</ScaleCrop>
  <HeadingPairs>
    <vt:vector size="2" baseType="variant">
      <vt:variant>
        <vt:lpstr>Title</vt:lpstr>
      </vt:variant>
      <vt:variant>
        <vt:i4>1</vt:i4>
      </vt:variant>
    </vt:vector>
  </HeadingPairs>
  <TitlesOfParts>
    <vt:vector size="1" baseType="lpstr">
      <vt:lpstr>BA - HB03639 (Committee Report (Substituted))</vt:lpstr>
    </vt:vector>
  </TitlesOfParts>
  <Company>State of Texas</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28291</dc:subject>
  <dc:creator>State of Texas</dc:creator>
  <dc:description>HB 3639 by Gervin-Hawkins-(H)County Affairs (Substitute Document Number: 85R 27356)</dc:description>
  <cp:lastModifiedBy>Molly Hoffman-Bricker</cp:lastModifiedBy>
  <cp:revision>2</cp:revision>
  <cp:lastPrinted>2017-05-04T18:25:00Z</cp:lastPrinted>
  <dcterms:created xsi:type="dcterms:W3CDTF">2017-05-05T02:20:00Z</dcterms:created>
  <dcterms:modified xsi:type="dcterms:W3CDTF">2017-05-05T02:20:00Z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17.124.228</vt:lpwstr>
  </property>
</Properties>
</file>