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83698A" w:rsidTr="00345119">
        <w:tc>
          <w:tcPr>
            <w:tcW w:w="9576" w:type="dxa"/>
            <w:noWrap/>
          </w:tcPr>
          <w:p w:rsidR="008423E4" w:rsidRPr="0022177D" w:rsidRDefault="00F31655" w:rsidP="00345119">
            <w:pPr>
              <w:pStyle w:val="Heading1"/>
            </w:pPr>
            <w:bookmarkStart w:id="0" w:name="_GoBack"/>
            <w:bookmarkEnd w:id="0"/>
            <w:r w:rsidRPr="00631897">
              <w:t>BILL ANALYSIS</w:t>
            </w:r>
          </w:p>
        </w:tc>
      </w:tr>
    </w:tbl>
    <w:p w:rsidR="008423E4" w:rsidRPr="0022177D" w:rsidRDefault="00F31655" w:rsidP="008423E4">
      <w:pPr>
        <w:jc w:val="center"/>
      </w:pPr>
    </w:p>
    <w:p w:rsidR="008423E4" w:rsidRPr="00B31F0E" w:rsidRDefault="00F31655" w:rsidP="008423E4"/>
    <w:p w:rsidR="008423E4" w:rsidRPr="00742794" w:rsidRDefault="00F31655" w:rsidP="008423E4">
      <w:pPr>
        <w:tabs>
          <w:tab w:val="right" w:pos="9360"/>
        </w:tabs>
      </w:pPr>
    </w:p>
    <w:tbl>
      <w:tblPr>
        <w:tblW w:w="0" w:type="auto"/>
        <w:tblLayout w:type="fixed"/>
        <w:tblLook w:val="01E0" w:firstRow="1" w:lastRow="1" w:firstColumn="1" w:lastColumn="1" w:noHBand="0" w:noVBand="0"/>
      </w:tblPr>
      <w:tblGrid>
        <w:gridCol w:w="9576"/>
      </w:tblGrid>
      <w:tr w:rsidR="0083698A" w:rsidTr="00345119">
        <w:tc>
          <w:tcPr>
            <w:tcW w:w="9576" w:type="dxa"/>
          </w:tcPr>
          <w:p w:rsidR="008423E4" w:rsidRPr="00861995" w:rsidRDefault="00F31655" w:rsidP="00345119">
            <w:pPr>
              <w:jc w:val="right"/>
            </w:pPr>
            <w:r>
              <w:t>C.S.H.B. 3726</w:t>
            </w:r>
          </w:p>
        </w:tc>
      </w:tr>
      <w:tr w:rsidR="0083698A" w:rsidTr="00345119">
        <w:tc>
          <w:tcPr>
            <w:tcW w:w="9576" w:type="dxa"/>
          </w:tcPr>
          <w:p w:rsidR="008423E4" w:rsidRPr="00861995" w:rsidRDefault="00F31655" w:rsidP="005B0232">
            <w:pPr>
              <w:jc w:val="right"/>
            </w:pPr>
            <w:r>
              <w:t xml:space="preserve">By: </w:t>
            </w:r>
            <w:r>
              <w:t>Dale</w:t>
            </w:r>
          </w:p>
        </w:tc>
      </w:tr>
      <w:tr w:rsidR="0083698A" w:rsidTr="00345119">
        <w:tc>
          <w:tcPr>
            <w:tcW w:w="9576" w:type="dxa"/>
          </w:tcPr>
          <w:p w:rsidR="008423E4" w:rsidRPr="00861995" w:rsidRDefault="00F31655" w:rsidP="00345119">
            <w:pPr>
              <w:jc w:val="right"/>
            </w:pPr>
            <w:r>
              <w:t>Energy Resources</w:t>
            </w:r>
          </w:p>
        </w:tc>
      </w:tr>
      <w:tr w:rsidR="0083698A" w:rsidTr="00345119">
        <w:tc>
          <w:tcPr>
            <w:tcW w:w="9576" w:type="dxa"/>
          </w:tcPr>
          <w:p w:rsidR="008423E4" w:rsidRDefault="00F31655" w:rsidP="00345119">
            <w:pPr>
              <w:jc w:val="right"/>
            </w:pPr>
            <w:r>
              <w:t>Committee Report (Substituted)</w:t>
            </w:r>
          </w:p>
        </w:tc>
      </w:tr>
    </w:tbl>
    <w:p w:rsidR="008423E4" w:rsidRDefault="00F31655" w:rsidP="008423E4">
      <w:pPr>
        <w:tabs>
          <w:tab w:val="right" w:pos="9360"/>
        </w:tabs>
      </w:pPr>
    </w:p>
    <w:p w:rsidR="008423E4" w:rsidRDefault="00F31655" w:rsidP="008423E4"/>
    <w:p w:rsidR="008423E4" w:rsidRDefault="00F31655" w:rsidP="008423E4"/>
    <w:tbl>
      <w:tblPr>
        <w:tblW w:w="0" w:type="auto"/>
        <w:tblCellMar>
          <w:left w:w="115" w:type="dxa"/>
          <w:right w:w="115" w:type="dxa"/>
        </w:tblCellMar>
        <w:tblLook w:val="01E0" w:firstRow="1" w:lastRow="1" w:firstColumn="1" w:lastColumn="1" w:noHBand="0" w:noVBand="0"/>
      </w:tblPr>
      <w:tblGrid>
        <w:gridCol w:w="9582"/>
      </w:tblGrid>
      <w:tr w:rsidR="0083698A" w:rsidTr="005B0232">
        <w:tc>
          <w:tcPr>
            <w:tcW w:w="9582" w:type="dxa"/>
          </w:tcPr>
          <w:p w:rsidR="008423E4" w:rsidRPr="00A8133F" w:rsidRDefault="00F31655" w:rsidP="002440EF">
            <w:pPr>
              <w:rPr>
                <w:b/>
              </w:rPr>
            </w:pPr>
            <w:r w:rsidRPr="009C1E9A">
              <w:rPr>
                <w:b/>
                <w:u w:val="single"/>
              </w:rPr>
              <w:t>BACKGROUND AND PURPOSE</w:t>
            </w:r>
            <w:r>
              <w:rPr>
                <w:b/>
              </w:rPr>
              <w:t xml:space="preserve"> </w:t>
            </w:r>
          </w:p>
          <w:p w:rsidR="008423E4" w:rsidRDefault="00F31655" w:rsidP="002440EF"/>
          <w:p w:rsidR="008423E4" w:rsidRDefault="00F31655" w:rsidP="002440EF">
            <w:pPr>
              <w:pStyle w:val="Header"/>
              <w:tabs>
                <w:tab w:val="clear" w:pos="4320"/>
                <w:tab w:val="clear" w:pos="8640"/>
              </w:tabs>
              <w:jc w:val="both"/>
            </w:pPr>
            <w:r w:rsidRPr="00DA3A24">
              <w:t>Interested parties contend that</w:t>
            </w:r>
            <w:r>
              <w:t xml:space="preserve"> a</w:t>
            </w:r>
            <w:r w:rsidRPr="00DA3A24">
              <w:t xml:space="preserve"> </w:t>
            </w:r>
            <w:r>
              <w:t>certain provision</w:t>
            </w:r>
            <w:r>
              <w:t xml:space="preserve"> relating to additional examinations and </w:t>
            </w:r>
            <w:r>
              <w:t xml:space="preserve">continuing education </w:t>
            </w:r>
            <w:r w:rsidRPr="008B4ED4">
              <w:t xml:space="preserve">for certain persons </w:t>
            </w:r>
            <w:r w:rsidRPr="008B4ED4">
              <w:t>under the Liquefied Petroleum Gas Code</w:t>
            </w:r>
            <w:r>
              <w:t xml:space="preserve"> </w:t>
            </w:r>
            <w:r>
              <w:t xml:space="preserve">is </w:t>
            </w:r>
            <w:r w:rsidRPr="00DA3A24">
              <w:t>not</w:t>
            </w:r>
            <w:r>
              <w:t xml:space="preserve"> being adequately</w:t>
            </w:r>
            <w:r w:rsidRPr="00DA3A24">
              <w:t xml:space="preserve"> enforc</w:t>
            </w:r>
            <w:r>
              <w:t>ed</w:t>
            </w:r>
            <w:r>
              <w:t xml:space="preserve"> and allege </w:t>
            </w:r>
            <w:r w:rsidRPr="00DA3A24">
              <w:t xml:space="preserve">that </w:t>
            </w:r>
            <w:r>
              <w:t xml:space="preserve">this type of additional examination and instruction </w:t>
            </w:r>
            <w:r w:rsidRPr="00DA3A24">
              <w:t>is not required for the renewal of other licenses under the purview of the Railroad Commission</w:t>
            </w:r>
            <w:r>
              <w:t xml:space="preserve"> of Texas</w:t>
            </w:r>
            <w:r w:rsidRPr="00DA3A24">
              <w:t xml:space="preserve">. </w:t>
            </w:r>
            <w:r>
              <w:t>C.S.</w:t>
            </w:r>
            <w:r w:rsidRPr="00DA3A24">
              <w:t>H.B. 37</w:t>
            </w:r>
            <w:r w:rsidRPr="00DA3A24">
              <w:t xml:space="preserve">26 </w:t>
            </w:r>
            <w:r>
              <w:t xml:space="preserve">seeks to address this issue by </w:t>
            </w:r>
            <w:r>
              <w:t xml:space="preserve">changing the railroad commission's responsibility with respect to </w:t>
            </w:r>
            <w:r>
              <w:t>that</w:t>
            </w:r>
            <w:r>
              <w:t xml:space="preserve"> provision</w:t>
            </w:r>
            <w:r>
              <w:t>.</w:t>
            </w:r>
            <w:r w:rsidRPr="00DA3A24">
              <w:t xml:space="preserve"> </w:t>
            </w:r>
          </w:p>
          <w:p w:rsidR="008423E4" w:rsidRPr="00E26B13" w:rsidRDefault="00F31655" w:rsidP="002440EF">
            <w:pPr>
              <w:rPr>
                <w:b/>
              </w:rPr>
            </w:pPr>
          </w:p>
        </w:tc>
      </w:tr>
      <w:tr w:rsidR="0083698A" w:rsidTr="005B0232">
        <w:tc>
          <w:tcPr>
            <w:tcW w:w="9582" w:type="dxa"/>
          </w:tcPr>
          <w:p w:rsidR="0017725B" w:rsidRDefault="00F31655" w:rsidP="002440EF">
            <w:pPr>
              <w:rPr>
                <w:b/>
                <w:u w:val="single"/>
              </w:rPr>
            </w:pPr>
            <w:r>
              <w:rPr>
                <w:b/>
                <w:u w:val="single"/>
              </w:rPr>
              <w:t>CRIMINAL JUSTICE IMPACT</w:t>
            </w:r>
          </w:p>
          <w:p w:rsidR="0017725B" w:rsidRDefault="00F31655" w:rsidP="002440EF">
            <w:pPr>
              <w:rPr>
                <w:b/>
                <w:u w:val="single"/>
              </w:rPr>
            </w:pPr>
          </w:p>
          <w:p w:rsidR="005F01D4" w:rsidRPr="005F01D4" w:rsidRDefault="00F31655" w:rsidP="002440EF">
            <w:pPr>
              <w:jc w:val="both"/>
            </w:pPr>
            <w:r>
              <w:t xml:space="preserve">It is the committee's opinion that this bill does not expressly create a criminal offense, increase the </w:t>
            </w:r>
            <w:r>
              <w:t>punishment for an existing criminal offense or category of offenses, or change the eligibility of a person for community supervision, parole, or mandatory supervision.</w:t>
            </w:r>
          </w:p>
          <w:p w:rsidR="0017725B" w:rsidRPr="0017725B" w:rsidRDefault="00F31655" w:rsidP="002440EF">
            <w:pPr>
              <w:rPr>
                <w:b/>
                <w:u w:val="single"/>
              </w:rPr>
            </w:pPr>
          </w:p>
        </w:tc>
      </w:tr>
      <w:tr w:rsidR="0083698A" w:rsidTr="005B0232">
        <w:tc>
          <w:tcPr>
            <w:tcW w:w="9582" w:type="dxa"/>
          </w:tcPr>
          <w:p w:rsidR="008423E4" w:rsidRPr="00A8133F" w:rsidRDefault="00F31655" w:rsidP="002440EF">
            <w:pPr>
              <w:rPr>
                <w:b/>
              </w:rPr>
            </w:pPr>
            <w:r w:rsidRPr="009C1E9A">
              <w:rPr>
                <w:b/>
                <w:u w:val="single"/>
              </w:rPr>
              <w:t>RULEMAKING AUTHORITY</w:t>
            </w:r>
            <w:r>
              <w:rPr>
                <w:b/>
              </w:rPr>
              <w:t xml:space="preserve"> </w:t>
            </w:r>
          </w:p>
          <w:p w:rsidR="008423E4" w:rsidRDefault="00F31655" w:rsidP="002440EF"/>
          <w:p w:rsidR="005F01D4" w:rsidRDefault="00F31655" w:rsidP="002440EF">
            <w:pPr>
              <w:pStyle w:val="Header"/>
              <w:tabs>
                <w:tab w:val="clear" w:pos="4320"/>
                <w:tab w:val="clear" w:pos="8640"/>
              </w:tabs>
              <w:jc w:val="both"/>
            </w:pPr>
            <w:r>
              <w:t>It is the committee's opinion that this bill does not expressly</w:t>
            </w:r>
            <w:r>
              <w:t xml:space="preserve"> grant any additional rulemaking authority to a state officer, department, agency, or institution.</w:t>
            </w:r>
          </w:p>
          <w:p w:rsidR="008423E4" w:rsidRPr="00E21FDC" w:rsidRDefault="00F31655" w:rsidP="002440EF">
            <w:pPr>
              <w:rPr>
                <w:b/>
              </w:rPr>
            </w:pPr>
          </w:p>
        </w:tc>
      </w:tr>
      <w:tr w:rsidR="0083698A" w:rsidTr="005B0232">
        <w:tc>
          <w:tcPr>
            <w:tcW w:w="9582" w:type="dxa"/>
          </w:tcPr>
          <w:p w:rsidR="008423E4" w:rsidRPr="00A8133F" w:rsidRDefault="00F31655" w:rsidP="002440EF">
            <w:pPr>
              <w:rPr>
                <w:b/>
              </w:rPr>
            </w:pPr>
            <w:r w:rsidRPr="009C1E9A">
              <w:rPr>
                <w:b/>
                <w:u w:val="single"/>
              </w:rPr>
              <w:t>ANALYSIS</w:t>
            </w:r>
            <w:r>
              <w:rPr>
                <w:b/>
              </w:rPr>
              <w:t xml:space="preserve"> </w:t>
            </w:r>
          </w:p>
          <w:p w:rsidR="008423E4" w:rsidRDefault="00F31655" w:rsidP="002440EF"/>
          <w:p w:rsidR="008423E4" w:rsidRDefault="00F31655" w:rsidP="002440EF">
            <w:pPr>
              <w:pStyle w:val="Header"/>
              <w:jc w:val="both"/>
            </w:pPr>
            <w:r>
              <w:t>C.S.</w:t>
            </w:r>
            <w:r>
              <w:t xml:space="preserve">H.B. 3726 </w:t>
            </w:r>
            <w:r>
              <w:t>amends the</w:t>
            </w:r>
            <w:r w:rsidRPr="005F01D4">
              <w:t xml:space="preserve"> Natural Resources Code</w:t>
            </w:r>
            <w:r>
              <w:t xml:space="preserve"> to </w:t>
            </w:r>
            <w:r>
              <w:t>remove</w:t>
            </w:r>
            <w:r>
              <w:t xml:space="preserve"> the requirement that the Railroad Commission of Texas</w:t>
            </w:r>
            <w:r>
              <w:t xml:space="preserve"> by appropriate rule</w:t>
            </w:r>
            <w:r>
              <w:t xml:space="preserve"> </w:t>
            </w:r>
            <w:r>
              <w:t>require</w:t>
            </w:r>
            <w:r>
              <w:t xml:space="preserve">, in addition to certain other examination requirements for certain persons under the Liquefied Petroleum Gas Code, </w:t>
            </w:r>
            <w:r>
              <w:t>an examination for technical competence that is validated by a recognized educational testing organization or similar organization or attend</w:t>
            </w:r>
            <w:r>
              <w:t xml:space="preserve">ance at approved </w:t>
            </w:r>
            <w:r>
              <w:t xml:space="preserve">academic, trade, professional, or </w:t>
            </w:r>
            <w:r>
              <w:t xml:space="preserve">railroad </w:t>
            </w:r>
            <w:r>
              <w:t>commission-sponsored seminars</w:t>
            </w:r>
            <w:r>
              <w:t xml:space="preserve">, </w:t>
            </w:r>
            <w:r>
              <w:t>other continuing education programs</w:t>
            </w:r>
            <w:r>
              <w:t>, and periodic reexaminations</w:t>
            </w:r>
            <w:r>
              <w:t xml:space="preserve">. The bill instead </w:t>
            </w:r>
            <w:r>
              <w:t>authoriz</w:t>
            </w:r>
            <w:r>
              <w:t>es</w:t>
            </w:r>
            <w:r>
              <w:t xml:space="preserve"> the railroad commission by rule to require</w:t>
            </w:r>
            <w:r>
              <w:t xml:space="preserve"> </w:t>
            </w:r>
            <w:r>
              <w:t>such an examination</w:t>
            </w:r>
            <w:r>
              <w:t xml:space="preserve"> for tech</w:t>
            </w:r>
            <w:r>
              <w:t>nical competence</w:t>
            </w:r>
            <w:r>
              <w:t xml:space="preserve"> or</w:t>
            </w:r>
            <w:r>
              <w:t xml:space="preserve"> attendance at such seminar</w:t>
            </w:r>
            <w:r>
              <w:t>s or</w:t>
            </w:r>
            <w:r>
              <w:t xml:space="preserve"> </w:t>
            </w:r>
            <w:r>
              <w:t xml:space="preserve">other </w:t>
            </w:r>
            <w:r>
              <w:t>continuing education program</w:t>
            </w:r>
            <w:r>
              <w:t>s</w:t>
            </w:r>
            <w:r>
              <w:t xml:space="preserve"> in addition to those other examination requirements</w:t>
            </w:r>
            <w:r>
              <w:t>.</w:t>
            </w:r>
          </w:p>
          <w:p w:rsidR="008423E4" w:rsidRPr="00835628" w:rsidRDefault="00F31655" w:rsidP="002440EF">
            <w:pPr>
              <w:rPr>
                <w:b/>
              </w:rPr>
            </w:pPr>
          </w:p>
        </w:tc>
      </w:tr>
      <w:tr w:rsidR="0083698A" w:rsidTr="005B0232">
        <w:tc>
          <w:tcPr>
            <w:tcW w:w="9582" w:type="dxa"/>
          </w:tcPr>
          <w:p w:rsidR="008423E4" w:rsidRPr="00A8133F" w:rsidRDefault="00F31655" w:rsidP="002440EF">
            <w:pPr>
              <w:rPr>
                <w:b/>
              </w:rPr>
            </w:pPr>
            <w:r w:rsidRPr="009C1E9A">
              <w:rPr>
                <w:b/>
                <w:u w:val="single"/>
              </w:rPr>
              <w:t>EFFECTIVE DATE</w:t>
            </w:r>
            <w:r>
              <w:rPr>
                <w:b/>
              </w:rPr>
              <w:t xml:space="preserve"> </w:t>
            </w:r>
          </w:p>
          <w:p w:rsidR="008423E4" w:rsidRDefault="00F31655" w:rsidP="002440EF"/>
          <w:p w:rsidR="008423E4" w:rsidRPr="003624F2" w:rsidRDefault="00F31655" w:rsidP="002440EF">
            <w:pPr>
              <w:pStyle w:val="Header"/>
              <w:tabs>
                <w:tab w:val="clear" w:pos="4320"/>
                <w:tab w:val="clear" w:pos="8640"/>
              </w:tabs>
              <w:jc w:val="both"/>
            </w:pPr>
            <w:r>
              <w:t>September 1, 2017.</w:t>
            </w:r>
          </w:p>
          <w:p w:rsidR="008423E4" w:rsidRPr="00233FDB" w:rsidRDefault="00F31655" w:rsidP="002440EF">
            <w:pPr>
              <w:rPr>
                <w:b/>
              </w:rPr>
            </w:pPr>
          </w:p>
        </w:tc>
      </w:tr>
      <w:tr w:rsidR="0083698A" w:rsidTr="005B0232">
        <w:tc>
          <w:tcPr>
            <w:tcW w:w="9582" w:type="dxa"/>
          </w:tcPr>
          <w:p w:rsidR="005B0232" w:rsidRDefault="00F31655" w:rsidP="002440EF">
            <w:pPr>
              <w:jc w:val="both"/>
              <w:rPr>
                <w:b/>
                <w:u w:val="single"/>
              </w:rPr>
            </w:pPr>
            <w:r>
              <w:rPr>
                <w:b/>
                <w:u w:val="single"/>
              </w:rPr>
              <w:t>COMPARISON OF ORIGINAL AND SUBSTITUTE</w:t>
            </w:r>
          </w:p>
          <w:p w:rsidR="000F0CBF" w:rsidRDefault="00F31655" w:rsidP="002440EF">
            <w:pPr>
              <w:jc w:val="both"/>
            </w:pPr>
          </w:p>
          <w:p w:rsidR="000F0CBF" w:rsidRDefault="00F31655" w:rsidP="002440EF">
            <w:pPr>
              <w:jc w:val="both"/>
            </w:pPr>
            <w:r>
              <w:t xml:space="preserve">While C.S.H.B. 3726 may differ from </w:t>
            </w:r>
            <w:r>
              <w:t>the original in minor or nonsubstantive ways, the following comparison is organized and formatted in a manner that indicates the substantial differences between the introduced and committee substitute versions of the bill.</w:t>
            </w:r>
          </w:p>
          <w:p w:rsidR="000F0CBF" w:rsidRPr="000F0CBF" w:rsidRDefault="00F31655" w:rsidP="002440EF">
            <w:pPr>
              <w:jc w:val="both"/>
            </w:pPr>
          </w:p>
        </w:tc>
      </w:tr>
      <w:tr w:rsidR="0083698A" w:rsidTr="005B0232">
        <w:tc>
          <w:tcPr>
            <w:tcW w:w="9582" w:type="dxa"/>
          </w:tcPr>
          <w:p w:rsidR="00077EF3" w:rsidRDefault="00F31655"/>
          <w:p w:rsidR="00077EF3" w:rsidRDefault="00F31655"/>
          <w:tbl>
            <w:tblPr>
              <w:tblW w:w="9346" w:type="dxa"/>
              <w:tblInd w:w="6" w:type="dxa"/>
              <w:tblCellMar>
                <w:left w:w="10" w:type="dxa"/>
                <w:bottom w:w="288" w:type="dxa"/>
                <w:right w:w="10" w:type="dxa"/>
              </w:tblCellMar>
              <w:tblLook w:val="01E0" w:firstRow="1" w:lastRow="1" w:firstColumn="1" w:lastColumn="1" w:noHBand="0" w:noVBand="0"/>
            </w:tblPr>
            <w:tblGrid>
              <w:gridCol w:w="4550"/>
              <w:gridCol w:w="4796"/>
            </w:tblGrid>
            <w:tr w:rsidR="0083698A" w:rsidTr="005B0232">
              <w:trPr>
                <w:cantSplit/>
                <w:tblHeader/>
              </w:trPr>
              <w:tc>
                <w:tcPr>
                  <w:tcW w:w="4550" w:type="dxa"/>
                  <w:tcMar>
                    <w:bottom w:w="188" w:type="dxa"/>
                  </w:tcMar>
                </w:tcPr>
                <w:p w:rsidR="005B0232" w:rsidRDefault="00F31655" w:rsidP="002440EF">
                  <w:pPr>
                    <w:jc w:val="center"/>
                  </w:pPr>
                  <w:r>
                    <w:lastRenderedPageBreak/>
                    <w:t>INTRODUCED</w:t>
                  </w:r>
                </w:p>
              </w:tc>
              <w:tc>
                <w:tcPr>
                  <w:tcW w:w="4796" w:type="dxa"/>
                  <w:tcMar>
                    <w:bottom w:w="188" w:type="dxa"/>
                  </w:tcMar>
                </w:tcPr>
                <w:p w:rsidR="005B0232" w:rsidRDefault="00F31655" w:rsidP="002440EF">
                  <w:pPr>
                    <w:jc w:val="center"/>
                  </w:pPr>
                  <w:r>
                    <w:t xml:space="preserve">HOUSE COMMITTEE </w:t>
                  </w:r>
                  <w:r>
                    <w:t>SUBSTITUTE</w:t>
                  </w:r>
                </w:p>
              </w:tc>
            </w:tr>
            <w:tr w:rsidR="0083698A" w:rsidTr="005B0232">
              <w:tc>
                <w:tcPr>
                  <w:tcW w:w="4550" w:type="dxa"/>
                  <w:tcMar>
                    <w:right w:w="360" w:type="dxa"/>
                  </w:tcMar>
                </w:tcPr>
                <w:p w:rsidR="005B0232" w:rsidRDefault="00F31655" w:rsidP="002440EF">
                  <w:pPr>
                    <w:jc w:val="both"/>
                  </w:pPr>
                  <w:r>
                    <w:t xml:space="preserve">SECTION 1.  Section 113.087(m), Natural Resources Code, is </w:t>
                  </w:r>
                  <w:r w:rsidRPr="00A6765E">
                    <w:t>repealed.</w:t>
                  </w:r>
                </w:p>
                <w:p w:rsidR="005B0232" w:rsidRDefault="00F31655" w:rsidP="002440EF">
                  <w:pPr>
                    <w:jc w:val="both"/>
                  </w:pPr>
                </w:p>
              </w:tc>
              <w:tc>
                <w:tcPr>
                  <w:tcW w:w="4796" w:type="dxa"/>
                  <w:tcMar>
                    <w:left w:w="360" w:type="dxa"/>
                  </w:tcMar>
                </w:tcPr>
                <w:p w:rsidR="005B0232" w:rsidRDefault="00F31655" w:rsidP="002440EF">
                  <w:pPr>
                    <w:jc w:val="both"/>
                  </w:pPr>
                  <w:r w:rsidRPr="00A6765E">
                    <w:rPr>
                      <w:highlight w:val="lightGray"/>
                    </w:rPr>
                    <w:t>No equivalent provision.</w:t>
                  </w:r>
                  <w:r>
                    <w:t xml:space="preserve"> </w:t>
                  </w:r>
                  <w:r w:rsidRPr="00A6765E">
                    <w:rPr>
                      <w:i/>
                    </w:rPr>
                    <w:t>(But see SECTION 1 below.)</w:t>
                  </w:r>
                </w:p>
                <w:p w:rsidR="005B0232" w:rsidRDefault="00F31655" w:rsidP="002440EF">
                  <w:pPr>
                    <w:jc w:val="both"/>
                  </w:pPr>
                </w:p>
              </w:tc>
            </w:tr>
            <w:tr w:rsidR="0083698A" w:rsidTr="005B0232">
              <w:tc>
                <w:tcPr>
                  <w:tcW w:w="4550" w:type="dxa"/>
                  <w:tcMar>
                    <w:right w:w="360" w:type="dxa"/>
                  </w:tcMar>
                </w:tcPr>
                <w:p w:rsidR="00A6765E" w:rsidRDefault="00F31655" w:rsidP="002440EF">
                  <w:pPr>
                    <w:jc w:val="both"/>
                  </w:pPr>
                  <w:r w:rsidRPr="00A6765E">
                    <w:rPr>
                      <w:highlight w:val="lightGray"/>
                    </w:rPr>
                    <w:t>No equivalent provision.</w:t>
                  </w:r>
                  <w:r>
                    <w:t xml:space="preserve"> </w:t>
                  </w:r>
                  <w:r w:rsidRPr="00A6765E">
                    <w:rPr>
                      <w:i/>
                    </w:rPr>
                    <w:t xml:space="preserve">(But see SECTION 1 </w:t>
                  </w:r>
                  <w:r>
                    <w:rPr>
                      <w:i/>
                    </w:rPr>
                    <w:t>above</w:t>
                  </w:r>
                  <w:r w:rsidRPr="00A6765E">
                    <w:rPr>
                      <w:i/>
                    </w:rPr>
                    <w:t>.)</w:t>
                  </w:r>
                </w:p>
              </w:tc>
              <w:tc>
                <w:tcPr>
                  <w:tcW w:w="4796" w:type="dxa"/>
                  <w:tcMar>
                    <w:left w:w="360" w:type="dxa"/>
                  </w:tcMar>
                </w:tcPr>
                <w:p w:rsidR="00A6765E" w:rsidRPr="00A6765E" w:rsidRDefault="00F31655" w:rsidP="002440EF">
                  <w:pPr>
                    <w:jc w:val="both"/>
                  </w:pPr>
                  <w:r w:rsidRPr="00A6765E">
                    <w:t xml:space="preserve">SECTION 1.  Section 113.087(m), Natural Resources Code, is amended </w:t>
                  </w:r>
                  <w:r w:rsidRPr="00A6765E">
                    <w:t>to read as follows:</w:t>
                  </w:r>
                </w:p>
                <w:p w:rsidR="00A6765E" w:rsidRPr="00A6765E" w:rsidRDefault="00F31655" w:rsidP="002440EF">
                  <w:pPr>
                    <w:jc w:val="both"/>
                  </w:pPr>
                  <w:r w:rsidRPr="00A6765E">
                    <w:t>(m)  The commission[</w:t>
                  </w:r>
                  <w:r w:rsidRPr="00A6765E">
                    <w:rPr>
                      <w:strike/>
                    </w:rPr>
                    <w:t>,</w:t>
                  </w:r>
                  <w:r w:rsidRPr="00A6765E">
                    <w:t>] by [</w:t>
                  </w:r>
                  <w:r w:rsidRPr="00A6765E">
                    <w:rPr>
                      <w:strike/>
                    </w:rPr>
                    <w:t>appropriate</w:t>
                  </w:r>
                  <w:r w:rsidRPr="00A6765E">
                    <w:t xml:space="preserve">] rule </w:t>
                  </w:r>
                  <w:r w:rsidRPr="00A6765E">
                    <w:rPr>
                      <w:u w:val="single"/>
                    </w:rPr>
                    <w:t>may</w:t>
                  </w:r>
                  <w:r w:rsidRPr="00A6765E">
                    <w:t>[</w:t>
                  </w:r>
                  <w:r w:rsidRPr="00A6765E">
                    <w:rPr>
                      <w:strike/>
                    </w:rPr>
                    <w:t>, shall</w:t>
                  </w:r>
                  <w:r w:rsidRPr="00A6765E">
                    <w:t>] require, in addition to examination requirements as set out in Subsections (b), (c), and (d) [</w:t>
                  </w:r>
                  <w:r w:rsidRPr="00A6765E">
                    <w:rPr>
                      <w:strike/>
                    </w:rPr>
                    <w:t>of this section</w:t>
                  </w:r>
                  <w:r w:rsidRPr="00A6765E">
                    <w:t>]:</w:t>
                  </w:r>
                </w:p>
                <w:p w:rsidR="00A6765E" w:rsidRPr="00A6765E" w:rsidRDefault="00F31655" w:rsidP="002440EF">
                  <w:pPr>
                    <w:jc w:val="both"/>
                  </w:pPr>
                  <w:r w:rsidRPr="00A6765E">
                    <w:t xml:space="preserve">(1)  an examination for technical competence that is validated by </w:t>
                  </w:r>
                  <w:r w:rsidRPr="00A6765E">
                    <w:t>a recognized educational testing organization or similar organization; or</w:t>
                  </w:r>
                </w:p>
                <w:p w:rsidR="00A6765E" w:rsidRDefault="00F31655" w:rsidP="002440EF">
                  <w:pPr>
                    <w:jc w:val="both"/>
                  </w:pPr>
                  <w:r w:rsidRPr="00A6765E">
                    <w:t xml:space="preserve">(2)  attendance at approved academic, trade, professional, or commission-sponsored seminars </w:t>
                  </w:r>
                  <w:r w:rsidRPr="00A6765E">
                    <w:rPr>
                      <w:u w:val="single"/>
                    </w:rPr>
                    <w:t>or</w:t>
                  </w:r>
                  <w:r w:rsidRPr="00A6765E">
                    <w:t>[</w:t>
                  </w:r>
                  <w:r w:rsidRPr="00A6765E">
                    <w:rPr>
                      <w:strike/>
                    </w:rPr>
                    <w:t>,</w:t>
                  </w:r>
                  <w:r w:rsidRPr="00A6765E">
                    <w:t>] other continuing education programs[</w:t>
                  </w:r>
                  <w:r w:rsidRPr="00A6765E">
                    <w:rPr>
                      <w:strike/>
                    </w:rPr>
                    <w:t>, and periodic reexaminations</w:t>
                  </w:r>
                  <w:r w:rsidRPr="00A6765E">
                    <w:t>].</w:t>
                  </w:r>
                </w:p>
              </w:tc>
            </w:tr>
            <w:tr w:rsidR="0083698A" w:rsidTr="005B0232">
              <w:tc>
                <w:tcPr>
                  <w:tcW w:w="4550" w:type="dxa"/>
                  <w:tcMar>
                    <w:right w:w="360" w:type="dxa"/>
                  </w:tcMar>
                </w:tcPr>
                <w:p w:rsidR="005B0232" w:rsidRDefault="00F31655" w:rsidP="002440EF">
                  <w:pPr>
                    <w:jc w:val="both"/>
                  </w:pPr>
                  <w:r>
                    <w:t>SECTION 2.  Sec</w:t>
                  </w:r>
                  <w:r>
                    <w:t>tion 113.087, Natural Resources Code, as amended by this Act, applies only to an application for an original or renewal license submitted on or after the effective date of this Act.  An application submitted before that date is governed by the law in effec</w:t>
                  </w:r>
                  <w:r>
                    <w:t>t on the date the application was submitted, and the former law is continued in effect for that purpose.</w:t>
                  </w:r>
                </w:p>
                <w:p w:rsidR="005B0232" w:rsidRDefault="00F31655" w:rsidP="002440EF">
                  <w:pPr>
                    <w:jc w:val="both"/>
                  </w:pPr>
                </w:p>
              </w:tc>
              <w:tc>
                <w:tcPr>
                  <w:tcW w:w="4796" w:type="dxa"/>
                  <w:tcMar>
                    <w:left w:w="360" w:type="dxa"/>
                  </w:tcMar>
                </w:tcPr>
                <w:p w:rsidR="005B0232" w:rsidRDefault="00F31655" w:rsidP="002440EF">
                  <w:pPr>
                    <w:jc w:val="both"/>
                  </w:pPr>
                  <w:r>
                    <w:t>SECTION 2. Same as introduced version.</w:t>
                  </w:r>
                </w:p>
                <w:p w:rsidR="005B0232" w:rsidRDefault="00F31655" w:rsidP="002440EF">
                  <w:pPr>
                    <w:jc w:val="both"/>
                  </w:pPr>
                </w:p>
                <w:p w:rsidR="005B0232" w:rsidRDefault="00F31655" w:rsidP="002440EF">
                  <w:pPr>
                    <w:jc w:val="both"/>
                  </w:pPr>
                </w:p>
              </w:tc>
            </w:tr>
            <w:tr w:rsidR="0083698A" w:rsidTr="005B0232">
              <w:tc>
                <w:tcPr>
                  <w:tcW w:w="4550" w:type="dxa"/>
                  <w:tcMar>
                    <w:right w:w="360" w:type="dxa"/>
                  </w:tcMar>
                </w:tcPr>
                <w:p w:rsidR="005B0232" w:rsidRDefault="00F31655" w:rsidP="002440EF">
                  <w:pPr>
                    <w:jc w:val="both"/>
                  </w:pPr>
                  <w:r>
                    <w:t>SECTION 3.  This Act takes effect September 1, 2017.</w:t>
                  </w:r>
                </w:p>
                <w:p w:rsidR="005B0232" w:rsidRDefault="00F31655" w:rsidP="002440EF">
                  <w:pPr>
                    <w:jc w:val="both"/>
                  </w:pPr>
                </w:p>
              </w:tc>
              <w:tc>
                <w:tcPr>
                  <w:tcW w:w="4796" w:type="dxa"/>
                  <w:tcMar>
                    <w:left w:w="360" w:type="dxa"/>
                  </w:tcMar>
                </w:tcPr>
                <w:p w:rsidR="005B0232" w:rsidRDefault="00F31655" w:rsidP="002440EF">
                  <w:pPr>
                    <w:jc w:val="both"/>
                  </w:pPr>
                  <w:r>
                    <w:t>SECTION 3. Same as introduced version.</w:t>
                  </w:r>
                </w:p>
                <w:p w:rsidR="005B0232" w:rsidRDefault="00F31655" w:rsidP="002440EF">
                  <w:pPr>
                    <w:jc w:val="both"/>
                  </w:pPr>
                </w:p>
                <w:p w:rsidR="005B0232" w:rsidRDefault="00F31655" w:rsidP="002440EF">
                  <w:pPr>
                    <w:jc w:val="both"/>
                  </w:pPr>
                </w:p>
              </w:tc>
            </w:tr>
          </w:tbl>
          <w:p w:rsidR="005B0232" w:rsidRDefault="00F31655" w:rsidP="002440EF"/>
          <w:p w:rsidR="005B0232" w:rsidRPr="009C1E9A" w:rsidRDefault="00F31655" w:rsidP="002440EF">
            <w:pPr>
              <w:rPr>
                <w:b/>
                <w:u w:val="single"/>
              </w:rPr>
            </w:pPr>
          </w:p>
        </w:tc>
      </w:tr>
    </w:tbl>
    <w:p w:rsidR="008423E4" w:rsidRPr="00BE0E75" w:rsidRDefault="00F31655" w:rsidP="00921220">
      <w:pPr>
        <w:spacing w:line="480" w:lineRule="auto"/>
        <w:jc w:val="both"/>
        <w:rPr>
          <w:rFonts w:ascii="Arial" w:hAnsi="Arial"/>
          <w:sz w:val="16"/>
          <w:szCs w:val="16"/>
        </w:rPr>
      </w:pPr>
    </w:p>
    <w:sectPr w:rsidR="008423E4" w:rsidRPr="00BE0E75"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1655">
      <w:r>
        <w:separator/>
      </w:r>
    </w:p>
  </w:endnote>
  <w:endnote w:type="continuationSeparator" w:id="0">
    <w:p w:rsidR="00000000" w:rsidRDefault="00F3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AF4" w:rsidRDefault="00F316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83698A" w:rsidTr="009C1E9A">
      <w:trPr>
        <w:cantSplit/>
      </w:trPr>
      <w:tc>
        <w:tcPr>
          <w:tcW w:w="0" w:type="pct"/>
        </w:tcPr>
        <w:p w:rsidR="00137D90" w:rsidRDefault="00F31655" w:rsidP="009C1E9A">
          <w:pPr>
            <w:pStyle w:val="Footer"/>
            <w:tabs>
              <w:tab w:val="clear" w:pos="8640"/>
              <w:tab w:val="right" w:pos="9360"/>
            </w:tabs>
          </w:pPr>
        </w:p>
      </w:tc>
      <w:tc>
        <w:tcPr>
          <w:tcW w:w="2395" w:type="pct"/>
        </w:tcPr>
        <w:p w:rsidR="00137D90" w:rsidRDefault="00F31655" w:rsidP="009C1E9A">
          <w:pPr>
            <w:pStyle w:val="Footer"/>
            <w:tabs>
              <w:tab w:val="clear" w:pos="8640"/>
              <w:tab w:val="right" w:pos="9360"/>
            </w:tabs>
          </w:pPr>
        </w:p>
        <w:p w:rsidR="001A4310" w:rsidRDefault="00F31655" w:rsidP="009C1E9A">
          <w:pPr>
            <w:pStyle w:val="Footer"/>
            <w:tabs>
              <w:tab w:val="clear" w:pos="8640"/>
              <w:tab w:val="right" w:pos="9360"/>
            </w:tabs>
          </w:pPr>
        </w:p>
        <w:p w:rsidR="00137D90" w:rsidRDefault="00F31655" w:rsidP="009C1E9A">
          <w:pPr>
            <w:pStyle w:val="Footer"/>
            <w:tabs>
              <w:tab w:val="clear" w:pos="8640"/>
              <w:tab w:val="right" w:pos="9360"/>
            </w:tabs>
          </w:pPr>
        </w:p>
      </w:tc>
      <w:tc>
        <w:tcPr>
          <w:tcW w:w="2453" w:type="pct"/>
        </w:tcPr>
        <w:p w:rsidR="00137D90" w:rsidRDefault="00F31655" w:rsidP="009C1E9A">
          <w:pPr>
            <w:pStyle w:val="Footer"/>
            <w:tabs>
              <w:tab w:val="clear" w:pos="8640"/>
              <w:tab w:val="right" w:pos="9360"/>
            </w:tabs>
            <w:jc w:val="right"/>
          </w:pPr>
        </w:p>
      </w:tc>
    </w:tr>
    <w:tr w:rsidR="0083698A" w:rsidTr="009C1E9A">
      <w:trPr>
        <w:cantSplit/>
      </w:trPr>
      <w:tc>
        <w:tcPr>
          <w:tcW w:w="0" w:type="pct"/>
        </w:tcPr>
        <w:p w:rsidR="00EC379B" w:rsidRDefault="00F31655" w:rsidP="009C1E9A">
          <w:pPr>
            <w:pStyle w:val="Footer"/>
            <w:tabs>
              <w:tab w:val="clear" w:pos="8640"/>
              <w:tab w:val="right" w:pos="9360"/>
            </w:tabs>
          </w:pPr>
        </w:p>
      </w:tc>
      <w:tc>
        <w:tcPr>
          <w:tcW w:w="2395" w:type="pct"/>
        </w:tcPr>
        <w:p w:rsidR="00EC379B" w:rsidRPr="009C1E9A" w:rsidRDefault="00F31655" w:rsidP="009C1E9A">
          <w:pPr>
            <w:pStyle w:val="Footer"/>
            <w:tabs>
              <w:tab w:val="clear" w:pos="8640"/>
              <w:tab w:val="right" w:pos="9360"/>
            </w:tabs>
            <w:rPr>
              <w:rFonts w:ascii="Shruti" w:hAnsi="Shruti"/>
              <w:sz w:val="22"/>
            </w:rPr>
          </w:pPr>
          <w:r>
            <w:rPr>
              <w:rFonts w:ascii="Shruti" w:hAnsi="Shruti"/>
              <w:sz w:val="22"/>
            </w:rPr>
            <w:t>85R 24612</w:t>
          </w:r>
        </w:p>
      </w:tc>
      <w:tc>
        <w:tcPr>
          <w:tcW w:w="2453" w:type="pct"/>
        </w:tcPr>
        <w:p w:rsidR="00EC379B" w:rsidRDefault="00F31655" w:rsidP="009C1E9A">
          <w:pPr>
            <w:pStyle w:val="Footer"/>
            <w:tabs>
              <w:tab w:val="clear" w:pos="8640"/>
              <w:tab w:val="right" w:pos="9360"/>
            </w:tabs>
            <w:jc w:val="right"/>
          </w:pPr>
          <w:r>
            <w:fldChar w:fldCharType="begin"/>
          </w:r>
          <w:r>
            <w:instrText xml:space="preserve"> DOCPROPERTY  OTID  \* MERGEFORMAT </w:instrText>
          </w:r>
          <w:r>
            <w:fldChar w:fldCharType="separate"/>
          </w:r>
          <w:r>
            <w:t>17.109.514</w:t>
          </w:r>
          <w:r>
            <w:fldChar w:fldCharType="end"/>
          </w:r>
        </w:p>
      </w:tc>
    </w:tr>
    <w:tr w:rsidR="0083698A" w:rsidTr="009C1E9A">
      <w:trPr>
        <w:cantSplit/>
      </w:trPr>
      <w:tc>
        <w:tcPr>
          <w:tcW w:w="0" w:type="pct"/>
        </w:tcPr>
        <w:p w:rsidR="00EC379B" w:rsidRDefault="00F31655" w:rsidP="009C1E9A">
          <w:pPr>
            <w:pStyle w:val="Footer"/>
            <w:tabs>
              <w:tab w:val="clear" w:pos="4320"/>
              <w:tab w:val="clear" w:pos="8640"/>
              <w:tab w:val="left" w:pos="2865"/>
            </w:tabs>
          </w:pPr>
        </w:p>
      </w:tc>
      <w:tc>
        <w:tcPr>
          <w:tcW w:w="2395" w:type="pct"/>
        </w:tcPr>
        <w:p w:rsidR="00EC379B" w:rsidRPr="009C1E9A" w:rsidRDefault="00F31655" w:rsidP="009C1E9A">
          <w:pPr>
            <w:pStyle w:val="Footer"/>
            <w:tabs>
              <w:tab w:val="clear" w:pos="4320"/>
              <w:tab w:val="clear" w:pos="8640"/>
              <w:tab w:val="left" w:pos="2865"/>
            </w:tabs>
            <w:rPr>
              <w:rFonts w:ascii="Shruti" w:hAnsi="Shruti"/>
              <w:sz w:val="22"/>
            </w:rPr>
          </w:pPr>
          <w:r>
            <w:rPr>
              <w:rFonts w:ascii="Shruti" w:hAnsi="Shruti"/>
              <w:sz w:val="22"/>
            </w:rPr>
            <w:t>Substitute Document Number: 85R 21876</w:t>
          </w:r>
        </w:p>
      </w:tc>
      <w:tc>
        <w:tcPr>
          <w:tcW w:w="2453" w:type="pct"/>
        </w:tcPr>
        <w:p w:rsidR="00EC379B" w:rsidRDefault="00F31655" w:rsidP="006D504F">
          <w:pPr>
            <w:pStyle w:val="Footer"/>
            <w:rPr>
              <w:rStyle w:val="PageNumber"/>
            </w:rPr>
          </w:pPr>
        </w:p>
        <w:p w:rsidR="00EC379B" w:rsidRDefault="00F31655" w:rsidP="009C1E9A">
          <w:pPr>
            <w:pStyle w:val="Footer"/>
            <w:tabs>
              <w:tab w:val="clear" w:pos="8640"/>
              <w:tab w:val="right" w:pos="9360"/>
            </w:tabs>
            <w:jc w:val="right"/>
          </w:pPr>
        </w:p>
      </w:tc>
    </w:tr>
    <w:tr w:rsidR="0083698A" w:rsidTr="009C1E9A">
      <w:trPr>
        <w:cantSplit/>
        <w:trHeight w:val="323"/>
      </w:trPr>
      <w:tc>
        <w:tcPr>
          <w:tcW w:w="0" w:type="pct"/>
          <w:gridSpan w:val="3"/>
        </w:tcPr>
        <w:p w:rsidR="00EC379B" w:rsidRDefault="00F31655"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F31655" w:rsidP="009C1E9A">
          <w:pPr>
            <w:pStyle w:val="Footer"/>
            <w:tabs>
              <w:tab w:val="clear" w:pos="8640"/>
              <w:tab w:val="right" w:pos="9360"/>
            </w:tabs>
            <w:jc w:val="center"/>
          </w:pPr>
        </w:p>
      </w:tc>
    </w:tr>
  </w:tbl>
  <w:p w:rsidR="00EC379B" w:rsidRPr="00FF6F72" w:rsidRDefault="00F31655" w:rsidP="006D504F">
    <w:pPr>
      <w:pStyle w:val="Footer"/>
      <w:tabs>
        <w:tab w:val="clear" w:pos="8640"/>
        <w:tab w:val="right" w:pos="9360"/>
      </w:tabs>
      <w:rPr>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AF4" w:rsidRDefault="00F316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1655">
      <w:r>
        <w:separator/>
      </w:r>
    </w:p>
  </w:footnote>
  <w:footnote w:type="continuationSeparator" w:id="0">
    <w:p w:rsidR="00000000" w:rsidRDefault="00F31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AF4" w:rsidRDefault="00F316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AF4" w:rsidRDefault="00F316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AF4" w:rsidRDefault="00F316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98A"/>
    <w:rsid w:val="0083698A"/>
    <w:rsid w:val="00F3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5F01D4"/>
    <w:rPr>
      <w:sz w:val="16"/>
      <w:szCs w:val="16"/>
    </w:rPr>
  </w:style>
  <w:style w:type="paragraph" w:styleId="CommentText">
    <w:name w:val="annotation text"/>
    <w:basedOn w:val="Normal"/>
    <w:link w:val="CommentTextChar"/>
    <w:rsid w:val="005F01D4"/>
    <w:rPr>
      <w:sz w:val="20"/>
      <w:szCs w:val="20"/>
    </w:rPr>
  </w:style>
  <w:style w:type="character" w:customStyle="1" w:styleId="CommentTextChar">
    <w:name w:val="Comment Text Char"/>
    <w:basedOn w:val="DefaultParagraphFont"/>
    <w:link w:val="CommentText"/>
    <w:rsid w:val="005F01D4"/>
  </w:style>
  <w:style w:type="paragraph" w:styleId="CommentSubject">
    <w:name w:val="annotation subject"/>
    <w:basedOn w:val="CommentText"/>
    <w:next w:val="CommentText"/>
    <w:link w:val="CommentSubjectChar"/>
    <w:rsid w:val="005F01D4"/>
    <w:rPr>
      <w:b/>
      <w:bCs/>
    </w:rPr>
  </w:style>
  <w:style w:type="character" w:customStyle="1" w:styleId="CommentSubjectChar">
    <w:name w:val="Comment Subject Char"/>
    <w:basedOn w:val="CommentTextChar"/>
    <w:link w:val="CommentSubject"/>
    <w:rsid w:val="005F01D4"/>
    <w:rPr>
      <w:b/>
      <w:bCs/>
    </w:rPr>
  </w:style>
  <w:style w:type="character" w:styleId="Hyperlink">
    <w:name w:val="Hyperlink"/>
    <w:basedOn w:val="DefaultParagraphFont"/>
    <w:rsid w:val="00A649BC"/>
    <w:rPr>
      <w:color w:val="0000FF" w:themeColor="hyperlink"/>
      <w:u w:val="single"/>
    </w:rPr>
  </w:style>
  <w:style w:type="character" w:styleId="FollowedHyperlink">
    <w:name w:val="FollowedHyperlink"/>
    <w:basedOn w:val="DefaultParagraphFont"/>
    <w:rsid w:val="0097739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5F01D4"/>
    <w:rPr>
      <w:sz w:val="16"/>
      <w:szCs w:val="16"/>
    </w:rPr>
  </w:style>
  <w:style w:type="paragraph" w:styleId="CommentText">
    <w:name w:val="annotation text"/>
    <w:basedOn w:val="Normal"/>
    <w:link w:val="CommentTextChar"/>
    <w:rsid w:val="005F01D4"/>
    <w:rPr>
      <w:sz w:val="20"/>
      <w:szCs w:val="20"/>
    </w:rPr>
  </w:style>
  <w:style w:type="character" w:customStyle="1" w:styleId="CommentTextChar">
    <w:name w:val="Comment Text Char"/>
    <w:basedOn w:val="DefaultParagraphFont"/>
    <w:link w:val="CommentText"/>
    <w:rsid w:val="005F01D4"/>
  </w:style>
  <w:style w:type="paragraph" w:styleId="CommentSubject">
    <w:name w:val="annotation subject"/>
    <w:basedOn w:val="CommentText"/>
    <w:next w:val="CommentText"/>
    <w:link w:val="CommentSubjectChar"/>
    <w:rsid w:val="005F01D4"/>
    <w:rPr>
      <w:b/>
      <w:bCs/>
    </w:rPr>
  </w:style>
  <w:style w:type="character" w:customStyle="1" w:styleId="CommentSubjectChar">
    <w:name w:val="Comment Subject Char"/>
    <w:basedOn w:val="CommentTextChar"/>
    <w:link w:val="CommentSubject"/>
    <w:rsid w:val="005F01D4"/>
    <w:rPr>
      <w:b/>
      <w:bCs/>
    </w:rPr>
  </w:style>
  <w:style w:type="character" w:styleId="Hyperlink">
    <w:name w:val="Hyperlink"/>
    <w:basedOn w:val="DefaultParagraphFont"/>
    <w:rsid w:val="00A649BC"/>
    <w:rPr>
      <w:color w:val="0000FF" w:themeColor="hyperlink"/>
      <w:u w:val="single"/>
    </w:rPr>
  </w:style>
  <w:style w:type="character" w:styleId="FollowedHyperlink">
    <w:name w:val="FollowedHyperlink"/>
    <w:basedOn w:val="DefaultParagraphFont"/>
    <w:rsid w:val="009773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2993</Characters>
  <Application>Microsoft Office Word</Application>
  <DocSecurity>4</DocSecurity>
  <Lines>102</Lines>
  <Paragraphs>30</Paragraphs>
  <ScaleCrop>false</ScaleCrop>
  <HeadingPairs>
    <vt:vector size="2" baseType="variant">
      <vt:variant>
        <vt:lpstr>Title</vt:lpstr>
      </vt:variant>
      <vt:variant>
        <vt:i4>1</vt:i4>
      </vt:variant>
    </vt:vector>
  </HeadingPairs>
  <TitlesOfParts>
    <vt:vector size="1" baseType="lpstr">
      <vt:lpstr>BA - HB03726 (Committee Report (Substituted))</vt:lpstr>
    </vt:vector>
  </TitlesOfParts>
  <Company>State of Texas</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24612</dc:subject>
  <dc:creator>State of Texas</dc:creator>
  <dc:description>HB 3726 by Dale-(H)Energy Resources (Substitute Document Number: 85R 21876)</dc:description>
  <cp:lastModifiedBy>Brianna Weis</cp:lastModifiedBy>
  <cp:revision>2</cp:revision>
  <cp:lastPrinted>2017-04-20T20:59:00Z</cp:lastPrinted>
  <dcterms:created xsi:type="dcterms:W3CDTF">2017-04-21T22:10:00Z</dcterms:created>
  <dcterms:modified xsi:type="dcterms:W3CDTF">2017-04-21T22:10:00Z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17.109.514</vt:lpwstr>
  </property>
</Properties>
</file>