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F09BF" w:rsidTr="00345119">
        <w:tc>
          <w:tcPr>
            <w:tcW w:w="9576" w:type="dxa"/>
            <w:noWrap/>
          </w:tcPr>
          <w:p w:rsidR="008423E4" w:rsidRPr="0022177D" w:rsidRDefault="00C21C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1CD6" w:rsidP="008423E4">
      <w:pPr>
        <w:jc w:val="center"/>
      </w:pPr>
    </w:p>
    <w:p w:rsidR="008423E4" w:rsidRPr="00B31F0E" w:rsidRDefault="00C21CD6" w:rsidP="008423E4"/>
    <w:p w:rsidR="008423E4" w:rsidRPr="00742794" w:rsidRDefault="00C21C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F09BF" w:rsidTr="00345119">
        <w:tc>
          <w:tcPr>
            <w:tcW w:w="9576" w:type="dxa"/>
          </w:tcPr>
          <w:p w:rsidR="008423E4" w:rsidRPr="00861995" w:rsidRDefault="00C21CD6" w:rsidP="00345119">
            <w:pPr>
              <w:jc w:val="right"/>
            </w:pPr>
            <w:r>
              <w:t>C.S.H.B. 3785</w:t>
            </w:r>
          </w:p>
        </w:tc>
      </w:tr>
      <w:tr w:rsidR="00CF09BF" w:rsidTr="00345119">
        <w:tc>
          <w:tcPr>
            <w:tcW w:w="9576" w:type="dxa"/>
          </w:tcPr>
          <w:p w:rsidR="008423E4" w:rsidRPr="00861995" w:rsidRDefault="00C21CD6" w:rsidP="000A3339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CF09BF" w:rsidTr="00345119">
        <w:tc>
          <w:tcPr>
            <w:tcW w:w="9576" w:type="dxa"/>
          </w:tcPr>
          <w:p w:rsidR="008423E4" w:rsidRPr="00861995" w:rsidRDefault="00C21CD6" w:rsidP="00345119">
            <w:pPr>
              <w:jc w:val="right"/>
            </w:pPr>
            <w:r>
              <w:t>Judiciary &amp; Civil Jurisprudence</w:t>
            </w:r>
          </w:p>
        </w:tc>
      </w:tr>
      <w:tr w:rsidR="00CF09BF" w:rsidTr="00345119">
        <w:tc>
          <w:tcPr>
            <w:tcW w:w="9576" w:type="dxa"/>
          </w:tcPr>
          <w:p w:rsidR="008423E4" w:rsidRDefault="00C21CD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21CD6" w:rsidP="008423E4">
      <w:pPr>
        <w:tabs>
          <w:tab w:val="right" w:pos="9360"/>
        </w:tabs>
      </w:pPr>
    </w:p>
    <w:p w:rsidR="008423E4" w:rsidRDefault="00C21CD6" w:rsidP="008423E4"/>
    <w:p w:rsidR="008423E4" w:rsidRDefault="00C21C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F09BF" w:rsidTr="000A3339">
        <w:tc>
          <w:tcPr>
            <w:tcW w:w="9582" w:type="dxa"/>
          </w:tcPr>
          <w:p w:rsidR="008423E4" w:rsidRPr="00A8133F" w:rsidRDefault="00C21CD6" w:rsidP="0060488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1CD6" w:rsidP="00604885"/>
          <w:p w:rsidR="008423E4" w:rsidRDefault="00C21CD6" w:rsidP="00604885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suggest </w:t>
            </w:r>
            <w:r>
              <w:t>a need to improve</w:t>
            </w:r>
            <w:r>
              <w:t xml:space="preserve"> </w:t>
            </w:r>
            <w:r>
              <w:t>transparency in the judicial process</w:t>
            </w:r>
            <w:r>
              <w:t xml:space="preserve"> </w:t>
            </w:r>
            <w:r>
              <w:t xml:space="preserve">involving </w:t>
            </w:r>
            <w:r>
              <w:t xml:space="preserve">associate judges </w:t>
            </w:r>
            <w:r>
              <w:t xml:space="preserve">in certain family law </w:t>
            </w:r>
            <w:r>
              <w:t xml:space="preserve">cases and </w:t>
            </w:r>
            <w:r>
              <w:t>proceedings</w:t>
            </w:r>
            <w:r>
              <w:t xml:space="preserve">. </w:t>
            </w:r>
            <w:r>
              <w:t>C.S.</w:t>
            </w:r>
            <w:r>
              <w:t>H.B. 3785 seeks to address this issue by</w:t>
            </w:r>
            <w:r>
              <w:t xml:space="preserve"> </w:t>
            </w:r>
            <w:r>
              <w:t xml:space="preserve">requiring a court reporter to be provided </w:t>
            </w:r>
            <w:r>
              <w:t xml:space="preserve">during </w:t>
            </w:r>
            <w:r>
              <w:t xml:space="preserve">certain </w:t>
            </w:r>
            <w:r>
              <w:t>cases</w:t>
            </w:r>
            <w:r>
              <w:t xml:space="preserve"> involving an associate judge and relating to </w:t>
            </w:r>
            <w:r>
              <w:t>child custody and parental termination matters</w:t>
            </w:r>
            <w:r>
              <w:t xml:space="preserve"> and </w:t>
            </w:r>
            <w:r>
              <w:t xml:space="preserve">by </w:t>
            </w:r>
            <w:r>
              <w:t>allo</w:t>
            </w:r>
            <w:r>
              <w:t>wing certain</w:t>
            </w:r>
            <w:r>
              <w:t xml:space="preserve"> family law</w:t>
            </w:r>
            <w:r>
              <w:t xml:space="preserve"> proceedings</w:t>
            </w:r>
            <w:r>
              <w:t xml:space="preserve"> heard by an associate judge</w:t>
            </w:r>
            <w:r>
              <w:t xml:space="preserve"> to be electronically recorded as an alternative to requiring recording by a court reporter.</w:t>
            </w:r>
          </w:p>
          <w:p w:rsidR="008423E4" w:rsidRPr="00E26B13" w:rsidRDefault="00C21CD6" w:rsidP="00604885">
            <w:pPr>
              <w:rPr>
                <w:b/>
              </w:rPr>
            </w:pPr>
          </w:p>
        </w:tc>
      </w:tr>
      <w:tr w:rsidR="00CF09BF" w:rsidTr="000A3339">
        <w:tc>
          <w:tcPr>
            <w:tcW w:w="9582" w:type="dxa"/>
          </w:tcPr>
          <w:p w:rsidR="0017725B" w:rsidRDefault="00C21CD6" w:rsidP="006048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1CD6" w:rsidP="00604885">
            <w:pPr>
              <w:rPr>
                <w:b/>
                <w:u w:val="single"/>
              </w:rPr>
            </w:pPr>
          </w:p>
          <w:p w:rsidR="007A1892" w:rsidRPr="007A1892" w:rsidRDefault="00C21CD6" w:rsidP="00604885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1CD6" w:rsidP="00604885">
            <w:pPr>
              <w:rPr>
                <w:b/>
                <w:u w:val="single"/>
              </w:rPr>
            </w:pPr>
          </w:p>
        </w:tc>
      </w:tr>
      <w:tr w:rsidR="00CF09BF" w:rsidTr="000A3339">
        <w:tc>
          <w:tcPr>
            <w:tcW w:w="9582" w:type="dxa"/>
          </w:tcPr>
          <w:p w:rsidR="008423E4" w:rsidRPr="00A8133F" w:rsidRDefault="00C21CD6" w:rsidP="0060488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1CD6" w:rsidP="00604885"/>
          <w:p w:rsidR="007A1892" w:rsidRDefault="00C21CD6" w:rsidP="00604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C21CD6" w:rsidP="00604885">
            <w:pPr>
              <w:rPr>
                <w:b/>
              </w:rPr>
            </w:pPr>
          </w:p>
        </w:tc>
      </w:tr>
      <w:tr w:rsidR="00CF09BF" w:rsidTr="000A3339">
        <w:tc>
          <w:tcPr>
            <w:tcW w:w="9582" w:type="dxa"/>
          </w:tcPr>
          <w:p w:rsidR="008423E4" w:rsidRPr="00A8133F" w:rsidRDefault="00C21CD6" w:rsidP="0060488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1CD6" w:rsidP="00604885"/>
          <w:p w:rsidR="008032CB" w:rsidRDefault="00C21CD6" w:rsidP="00604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3785 amends the Family Code </w:t>
            </w:r>
            <w:r>
              <w:t>to</w:t>
            </w:r>
            <w:r>
              <w:t xml:space="preserve"> </w:t>
            </w:r>
            <w:r>
              <w:t>revise the provision authorizing a court reporter to be provided during</w:t>
            </w:r>
            <w:r>
              <w:t xml:space="preserve"> a </w:t>
            </w:r>
            <w:r>
              <w:t>hearing held by an associate judge in</w:t>
            </w:r>
            <w:r>
              <w:t xml:space="preserve"> </w:t>
            </w:r>
            <w:r>
              <w:t>a suit</w:t>
            </w:r>
            <w:r>
              <w:t xml:space="preserve"> affecting the parent-child relationship</w:t>
            </w:r>
            <w:r>
              <w:t xml:space="preserve"> </w:t>
            </w:r>
            <w:r>
              <w:t>by</w:t>
            </w:r>
            <w:r>
              <w:t xml:space="preserve"> replac</w:t>
            </w:r>
            <w:r>
              <w:t>ing</w:t>
            </w:r>
            <w:r>
              <w:t xml:space="preserve"> that</w:t>
            </w:r>
            <w:r>
              <w:t xml:space="preserve"> </w:t>
            </w:r>
            <w:r>
              <w:t xml:space="preserve">authorization </w:t>
            </w:r>
            <w:r>
              <w:t xml:space="preserve">and related provisions </w:t>
            </w:r>
            <w:r>
              <w:t xml:space="preserve">with a requirement </w:t>
            </w:r>
            <w:r>
              <w:t xml:space="preserve">that </w:t>
            </w:r>
            <w:r>
              <w:t xml:space="preserve">a court reporter be provided </w:t>
            </w:r>
            <w:r>
              <w:t xml:space="preserve">in such a hearing </w:t>
            </w:r>
            <w:r>
              <w:t xml:space="preserve">or </w:t>
            </w:r>
            <w:r>
              <w:t xml:space="preserve">that </w:t>
            </w:r>
            <w:r>
              <w:t>the proceedings be recorded with a</w:t>
            </w:r>
            <w:r>
              <w:t xml:space="preserve"> good quality electronic audio recording device</w:t>
            </w:r>
            <w:r>
              <w:t xml:space="preserve">. </w:t>
            </w:r>
            <w:r>
              <w:t>The bill requires</w:t>
            </w:r>
            <w:r>
              <w:t xml:space="preserve"> a court reporter </w:t>
            </w:r>
            <w:r>
              <w:t xml:space="preserve">to </w:t>
            </w:r>
            <w:r>
              <w:t>be provided when the associate judge presides over child custody and parental termination matters</w:t>
            </w:r>
            <w:r>
              <w:t>.</w:t>
            </w:r>
            <w:r>
              <w:t xml:space="preserve"> </w:t>
            </w:r>
          </w:p>
          <w:p w:rsidR="008423E4" w:rsidRPr="00835628" w:rsidRDefault="00C21CD6" w:rsidP="00604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F09BF" w:rsidTr="000A3339">
        <w:tc>
          <w:tcPr>
            <w:tcW w:w="9582" w:type="dxa"/>
          </w:tcPr>
          <w:p w:rsidR="008423E4" w:rsidRPr="00A8133F" w:rsidRDefault="00C21CD6" w:rsidP="0060488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1CD6" w:rsidP="00604885"/>
          <w:p w:rsidR="008423E4" w:rsidRPr="003624F2" w:rsidRDefault="00C21CD6" w:rsidP="0060488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21CD6" w:rsidP="00604885">
            <w:pPr>
              <w:rPr>
                <w:b/>
              </w:rPr>
            </w:pPr>
          </w:p>
        </w:tc>
      </w:tr>
      <w:tr w:rsidR="00CF09BF" w:rsidTr="000A3339">
        <w:tc>
          <w:tcPr>
            <w:tcW w:w="9582" w:type="dxa"/>
          </w:tcPr>
          <w:p w:rsidR="000A3339" w:rsidRDefault="00C21CD6" w:rsidP="0060488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AND </w:t>
            </w:r>
            <w:r>
              <w:rPr>
                <w:b/>
                <w:u w:val="single"/>
              </w:rPr>
              <w:t>SUBSTITUTE</w:t>
            </w:r>
          </w:p>
          <w:p w:rsidR="00761DAF" w:rsidRDefault="00C21CD6" w:rsidP="00604885">
            <w:pPr>
              <w:jc w:val="both"/>
            </w:pPr>
          </w:p>
          <w:p w:rsidR="00761DAF" w:rsidRDefault="00C21CD6" w:rsidP="00604885">
            <w:pPr>
              <w:jc w:val="both"/>
            </w:pPr>
            <w:r>
              <w:t>While C.S.H.B. 3785 may differ from the original in minor or nonsubstantive ways, the following comparison is organized and formatted in a manner that indicates the substantial differences between the introduced and committee substitute version</w:t>
            </w:r>
            <w:r>
              <w:t>s of the bill.</w:t>
            </w:r>
          </w:p>
          <w:p w:rsidR="00761DAF" w:rsidRPr="005107EF" w:rsidRDefault="00C21CD6" w:rsidP="00604885">
            <w:pPr>
              <w:jc w:val="both"/>
            </w:pPr>
          </w:p>
        </w:tc>
      </w:tr>
      <w:tr w:rsidR="00CF09BF" w:rsidTr="000A3339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F09BF" w:rsidTr="000A3339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0A3339" w:rsidRDefault="00C21CD6" w:rsidP="0060488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0A3339" w:rsidRDefault="00C21CD6" w:rsidP="0060488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F09BF" w:rsidTr="000A3339">
              <w:tc>
                <w:tcPr>
                  <w:tcW w:w="4673" w:type="dxa"/>
                  <w:tcMar>
                    <w:right w:w="360" w:type="dxa"/>
                  </w:tcMar>
                </w:tcPr>
                <w:p w:rsidR="000A3339" w:rsidRDefault="00C21CD6" w:rsidP="00604885">
                  <w:pPr>
                    <w:jc w:val="both"/>
                  </w:pPr>
                  <w:r>
                    <w:t>SECTION 1.  Section 201.004, Family Code, is amended by adding Subsection (e) to read as follows: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rPr>
                      <w:u w:val="single"/>
                    </w:rPr>
                    <w:lastRenderedPageBreak/>
                    <w:t xml:space="preserve">(e)  A resident of the county served by the associate judge may file with the State Commission on </w:t>
                  </w:r>
                  <w:r>
                    <w:rPr>
                      <w:u w:val="single"/>
                    </w:rPr>
                    <w:t xml:space="preserve">Judicial Conduct a petition for removal of the associate judge.  If the commission finds the associate judge abused the judge's discretion or acted in bad faith against a party before the associate judge, the commission may terminate the employment of the </w:t>
                  </w:r>
                  <w:r>
                    <w:rPr>
                      <w:u w:val="single"/>
                    </w:rPr>
                    <w:t>associate judge for the court served by the associate judge.  An associate judge's employment termination does not prevent a de novo appeal of the associate judge's ruling to any district court in the county.</w:t>
                  </w:r>
                </w:p>
                <w:p w:rsidR="000A3339" w:rsidRDefault="00C21CD6" w:rsidP="0060488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A3339" w:rsidRDefault="00C21CD6" w:rsidP="00604885">
                  <w:pPr>
                    <w:jc w:val="both"/>
                  </w:pPr>
                  <w:r w:rsidRPr="00761DAF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0A3339" w:rsidRDefault="00C21CD6" w:rsidP="00604885">
                  <w:pPr>
                    <w:jc w:val="both"/>
                  </w:pPr>
                </w:p>
              </w:tc>
            </w:tr>
            <w:tr w:rsidR="00CF09BF" w:rsidTr="000A3339">
              <w:tc>
                <w:tcPr>
                  <w:tcW w:w="4673" w:type="dxa"/>
                  <w:tcMar>
                    <w:right w:w="360" w:type="dxa"/>
                  </w:tcMar>
                </w:tcPr>
                <w:p w:rsidR="000A3339" w:rsidRDefault="00C21CD6" w:rsidP="00604885">
                  <w:pPr>
                    <w:jc w:val="both"/>
                  </w:pPr>
                  <w:r>
                    <w:lastRenderedPageBreak/>
                    <w:t>SECTION 2.  Section</w:t>
                  </w:r>
                  <w:r>
                    <w:t xml:space="preserve"> 201.009, Family Code, is amended to read as follows:</w:t>
                  </w:r>
                </w:p>
                <w:p w:rsidR="000A3339" w:rsidRDefault="00C21CD6" w:rsidP="00604885">
                  <w:pPr>
                    <w:jc w:val="both"/>
                    <w:rPr>
                      <w:strike/>
                    </w:rPr>
                  </w:pPr>
                  <w:r>
                    <w:t xml:space="preserve">Sec. 201.009.  COURT REPORTER; RECORD.  </w:t>
                  </w:r>
                  <w:r>
                    <w:rPr>
                      <w:u w:val="single"/>
                    </w:rPr>
                    <w:t>In</w:t>
                  </w:r>
                  <w:r>
                    <w:t xml:space="preserve"> [</w:t>
                  </w:r>
                  <w:r>
                    <w:rPr>
                      <w:strike/>
                    </w:rPr>
                    <w:t>(a)  A court reporter may be provided during</w:t>
                  </w:r>
                  <w:r>
                    <w:t>] a hearing held by an associate judge appointed under this chapter</w:t>
                  </w:r>
                  <w:r>
                    <w:rPr>
                      <w:u w:val="single"/>
                    </w:rPr>
                    <w:t>, a court reporter must be provided or the proc</w:t>
                  </w:r>
                  <w:r>
                    <w:rPr>
                      <w:u w:val="single"/>
                    </w:rPr>
                    <w:t>eedings must be recorded with a good quality electronic audio recording device</w:t>
                  </w:r>
                  <w:r>
                    <w:t xml:space="preserve">.  </w:t>
                  </w:r>
                  <w:r w:rsidRPr="005107EF">
                    <w:rPr>
                      <w:highlight w:val="lightGray"/>
                    </w:rPr>
                    <w:t>[</w:t>
                  </w:r>
                  <w:r w:rsidRPr="005107EF">
                    <w:rPr>
                      <w:strike/>
                      <w:highlight w:val="lightGray"/>
                    </w:rPr>
                    <w:t>A court reporter is required to be provided when the associate judge presides over a jury trial or</w:t>
                  </w:r>
                  <w:r>
                    <w:rPr>
                      <w:strike/>
                    </w:rPr>
                    <w:t xml:space="preserve"> a contested final termination hearing.</w:t>
                  </w:r>
                </w:p>
                <w:p w:rsidR="00761DAF" w:rsidRDefault="00C21CD6" w:rsidP="00604885">
                  <w:pPr>
                    <w:jc w:val="both"/>
                  </w:pP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(b)  A party, the associate judge,</w:t>
                  </w:r>
                  <w:r>
                    <w:rPr>
                      <w:strike/>
                    </w:rPr>
                    <w:t xml:space="preserve"> or the referring court may provide for a reporter during the hearing, if one is not otherwise provided.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(c)  Except as provided by Subsection (a), in the absence of a court reporter or on agreement of the parties, the record may be preserved by any means</w:t>
                  </w:r>
                  <w:r>
                    <w:rPr>
                      <w:strike/>
                    </w:rPr>
                    <w:t xml:space="preserve"> approved by the associate judge.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(d)  The referring court or associate judge may tax the expense of preserving the record under Subsection (c) as costs.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(e)  On a request for a de novo hearing, the referring court may consider testimony or other evidenc</w:t>
                  </w:r>
                  <w:r>
                    <w:rPr>
                      <w:strike/>
                    </w:rPr>
                    <w:t>e in the record in addition to witnesses or other matters presented under Section 201.015.</w:t>
                  </w:r>
                  <w:r>
                    <w:t>]</w:t>
                  </w:r>
                </w:p>
                <w:p w:rsidR="000A3339" w:rsidRDefault="00C21CD6" w:rsidP="0060488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A3339" w:rsidRDefault="00C21CD6" w:rsidP="00604885">
                  <w:pPr>
                    <w:jc w:val="both"/>
                  </w:pPr>
                  <w:r>
                    <w:t>SECTION 1.  Section 201.009, Family Code, is amended to read as follows: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 xml:space="preserve">Sec. 201.009.  COURT REPORTER; RECORD.  </w:t>
                  </w:r>
                  <w:r>
                    <w:rPr>
                      <w:u w:val="single"/>
                    </w:rPr>
                    <w:t>In</w:t>
                  </w:r>
                  <w:r>
                    <w:t xml:space="preserve"> [</w:t>
                  </w:r>
                  <w:r>
                    <w:rPr>
                      <w:strike/>
                    </w:rPr>
                    <w:t>(a)  A court reporter may be provided during</w:t>
                  </w:r>
                  <w:r>
                    <w:t xml:space="preserve">] </w:t>
                  </w:r>
                  <w:r>
                    <w:t>a hearing held by an associate judge appointed under this chapter</w:t>
                  </w:r>
                  <w:r>
                    <w:rPr>
                      <w:u w:val="single"/>
                    </w:rPr>
                    <w:t>, a court reporter must be provided or the proceedings must be recorded with a good quality electronic audio recording device</w:t>
                  </w:r>
                  <w:r>
                    <w:t xml:space="preserve">.  </w:t>
                  </w:r>
                  <w:r w:rsidRPr="00761DAF">
                    <w:rPr>
                      <w:highlight w:val="lightGray"/>
                    </w:rPr>
                    <w:t xml:space="preserve">A court reporter is required to be provided when the associate </w:t>
                  </w:r>
                  <w:r w:rsidRPr="00761DAF">
                    <w:rPr>
                      <w:highlight w:val="lightGray"/>
                    </w:rPr>
                    <w:t xml:space="preserve">judge presides over a jury trial or </w:t>
                  </w:r>
                  <w:r w:rsidRPr="00761DAF">
                    <w:rPr>
                      <w:highlight w:val="lightGray"/>
                      <w:u w:val="single"/>
                    </w:rPr>
                    <w:t>child custody and parental termination matters</w:t>
                  </w:r>
                  <w:r>
                    <w:t xml:space="preserve"> [</w:t>
                  </w:r>
                  <w:r>
                    <w:rPr>
                      <w:strike/>
                    </w:rPr>
                    <w:t>a contested final termination hearing</w:t>
                  </w:r>
                  <w:r>
                    <w:t>].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(b)  A party, the associate judge, or the referring court may provide for a reporter during the hearing, if one is not otherwise pr</w:t>
                  </w:r>
                  <w:r>
                    <w:rPr>
                      <w:strike/>
                    </w:rPr>
                    <w:t>ovided.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(c)  Except as provided by Subsection (a), in the absence of a court reporter or on agreement of the parties, the record may be preserved by any means approved by the associate judge.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 xml:space="preserve">(d)  The referring court or associate judge may tax the </w:t>
                  </w:r>
                  <w:r>
                    <w:rPr>
                      <w:strike/>
                    </w:rPr>
                    <w:t>expense of preserving the record under Subsection (c) as costs.</w:t>
                  </w:r>
                </w:p>
                <w:p w:rsidR="000A3339" w:rsidRDefault="00C21CD6" w:rsidP="00604885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(e)  On a request for a de novo hearing, the referring court may consider testimony or other evidence in the record in addition to witnesses or other matters presented under Section 201.015.</w:t>
                  </w:r>
                  <w:r>
                    <w:t>]</w:t>
                  </w:r>
                </w:p>
                <w:p w:rsidR="000A3339" w:rsidRDefault="00C21CD6" w:rsidP="00604885">
                  <w:pPr>
                    <w:jc w:val="both"/>
                  </w:pPr>
                </w:p>
              </w:tc>
            </w:tr>
            <w:tr w:rsidR="00CF09BF" w:rsidTr="000A3339">
              <w:tc>
                <w:tcPr>
                  <w:tcW w:w="4673" w:type="dxa"/>
                  <w:tcMar>
                    <w:right w:w="360" w:type="dxa"/>
                  </w:tcMar>
                </w:tcPr>
                <w:p w:rsidR="000A3339" w:rsidRDefault="00C21CD6" w:rsidP="00604885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0A3339" w:rsidRDefault="00C21CD6" w:rsidP="0060488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0A3339" w:rsidRDefault="00C21CD6" w:rsidP="00604885">
                  <w:pPr>
                    <w:jc w:val="both"/>
                  </w:pPr>
                  <w:r>
                    <w:t>SECTION 2. Same as introduced version.</w:t>
                  </w:r>
                </w:p>
                <w:p w:rsidR="000A3339" w:rsidRDefault="00C21CD6" w:rsidP="00604885">
                  <w:pPr>
                    <w:jc w:val="both"/>
                  </w:pPr>
                </w:p>
                <w:p w:rsidR="000A3339" w:rsidRDefault="00C21CD6" w:rsidP="00604885">
                  <w:pPr>
                    <w:jc w:val="both"/>
                  </w:pPr>
                </w:p>
              </w:tc>
            </w:tr>
          </w:tbl>
          <w:p w:rsidR="000A3339" w:rsidRDefault="00C21CD6" w:rsidP="00604885"/>
          <w:p w:rsidR="000A3339" w:rsidRPr="009C1E9A" w:rsidRDefault="00C21CD6" w:rsidP="00604885">
            <w:pPr>
              <w:rPr>
                <w:b/>
                <w:u w:val="single"/>
              </w:rPr>
            </w:pPr>
          </w:p>
        </w:tc>
      </w:tr>
    </w:tbl>
    <w:p w:rsidR="004108C3" w:rsidRPr="008423E4" w:rsidRDefault="00C21CD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1CD6">
      <w:r>
        <w:separator/>
      </w:r>
    </w:p>
  </w:endnote>
  <w:endnote w:type="continuationSeparator" w:id="0">
    <w:p w:rsidR="00000000" w:rsidRDefault="00C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F09BF" w:rsidTr="009C1E9A">
      <w:trPr>
        <w:cantSplit/>
      </w:trPr>
      <w:tc>
        <w:tcPr>
          <w:tcW w:w="0" w:type="pct"/>
        </w:tcPr>
        <w:p w:rsidR="00137D90" w:rsidRDefault="00C21C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1C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1C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1C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1C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09BF" w:rsidTr="009C1E9A">
      <w:trPr>
        <w:cantSplit/>
      </w:trPr>
      <w:tc>
        <w:tcPr>
          <w:tcW w:w="0" w:type="pct"/>
        </w:tcPr>
        <w:p w:rsidR="00EC379B" w:rsidRDefault="00C21C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1C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27204</w:t>
          </w:r>
        </w:p>
      </w:tc>
      <w:tc>
        <w:tcPr>
          <w:tcW w:w="2453" w:type="pct"/>
        </w:tcPr>
        <w:p w:rsidR="00EC379B" w:rsidRDefault="00C21C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17.118.1390</w:t>
          </w:r>
          <w:r>
            <w:fldChar w:fldCharType="end"/>
          </w:r>
        </w:p>
      </w:tc>
    </w:tr>
    <w:tr w:rsidR="00CF09BF" w:rsidTr="009C1E9A">
      <w:trPr>
        <w:cantSplit/>
      </w:trPr>
      <w:tc>
        <w:tcPr>
          <w:tcW w:w="0" w:type="pct"/>
        </w:tcPr>
        <w:p w:rsidR="00EC379B" w:rsidRDefault="00C21C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1C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85R 26694</w:t>
          </w:r>
        </w:p>
      </w:tc>
      <w:tc>
        <w:tcPr>
          <w:tcW w:w="2453" w:type="pct"/>
        </w:tcPr>
        <w:p w:rsidR="00EC379B" w:rsidRDefault="00C21CD6" w:rsidP="006D504F">
          <w:pPr>
            <w:pStyle w:val="Footer"/>
            <w:rPr>
              <w:rStyle w:val="PageNumber"/>
            </w:rPr>
          </w:pPr>
        </w:p>
        <w:p w:rsidR="00EC379B" w:rsidRDefault="00C21C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F09B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1C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1C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1C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1CD6">
      <w:r>
        <w:separator/>
      </w:r>
    </w:p>
  </w:footnote>
  <w:footnote w:type="continuationSeparator" w:id="0">
    <w:p w:rsidR="00000000" w:rsidRDefault="00C21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BF"/>
    <w:rsid w:val="00C21CD6"/>
    <w:rsid w:val="00C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1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892"/>
  </w:style>
  <w:style w:type="paragraph" w:styleId="CommentSubject">
    <w:name w:val="annotation subject"/>
    <w:basedOn w:val="CommentText"/>
    <w:next w:val="CommentText"/>
    <w:link w:val="CommentSubjectChar"/>
    <w:rsid w:val="007A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A18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892"/>
  </w:style>
  <w:style w:type="paragraph" w:styleId="CommentSubject">
    <w:name w:val="annotation subject"/>
    <w:basedOn w:val="CommentText"/>
    <w:next w:val="CommentText"/>
    <w:link w:val="CommentSubjectChar"/>
    <w:rsid w:val="007A1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816</Words>
  <Characters>4316</Characters>
  <Application>Microsoft Office Word</Application>
  <DocSecurity>4</DocSecurity>
  <Lines>144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HB03785 (Committee Report (Substituted))</vt:lpstr>
    </vt:vector>
  </TitlesOfParts>
  <Company>State of Texas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27204</dc:subject>
  <dc:creator>State of Texas</dc:creator>
  <dc:description>HB 3785 by Capriglione-(H)Judiciary &amp; Civil Jurisprudence (Substitute Document Number: 85R 26694)</dc:description>
  <cp:lastModifiedBy>Alexander McMillan</cp:lastModifiedBy>
  <cp:revision>2</cp:revision>
  <cp:lastPrinted>2017-04-29T16:32:00Z</cp:lastPrinted>
  <dcterms:created xsi:type="dcterms:W3CDTF">2017-05-01T23:28:00Z</dcterms:created>
  <dcterms:modified xsi:type="dcterms:W3CDTF">2017-05-01T23:28:00Z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17.118.1390</vt:lpwstr>
  </property>
</Properties>
</file>