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118F2" w:rsidTr="00345119">
        <w:tc>
          <w:tcPr>
            <w:tcW w:w="9576" w:type="dxa"/>
            <w:noWrap/>
          </w:tcPr>
          <w:p w:rsidR="008423E4" w:rsidRPr="0022177D" w:rsidRDefault="00C939F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939FA" w:rsidP="008423E4">
      <w:pPr>
        <w:jc w:val="center"/>
      </w:pPr>
    </w:p>
    <w:p w:rsidR="008423E4" w:rsidRPr="00B31F0E" w:rsidRDefault="00C939FA" w:rsidP="008423E4"/>
    <w:p w:rsidR="008423E4" w:rsidRPr="00742794" w:rsidRDefault="00C939F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118F2" w:rsidTr="00345119">
        <w:tc>
          <w:tcPr>
            <w:tcW w:w="9576" w:type="dxa"/>
          </w:tcPr>
          <w:p w:rsidR="008423E4" w:rsidRPr="00861995" w:rsidRDefault="00C939FA" w:rsidP="00345119">
            <w:pPr>
              <w:jc w:val="right"/>
            </w:pPr>
            <w:r>
              <w:t>H.B. 3786</w:t>
            </w:r>
          </w:p>
        </w:tc>
      </w:tr>
      <w:tr w:rsidR="000118F2" w:rsidTr="00345119">
        <w:tc>
          <w:tcPr>
            <w:tcW w:w="9576" w:type="dxa"/>
          </w:tcPr>
          <w:p w:rsidR="008423E4" w:rsidRPr="00861995" w:rsidRDefault="00C939FA" w:rsidP="008E7563">
            <w:pPr>
              <w:jc w:val="right"/>
            </w:pPr>
            <w:r>
              <w:t xml:space="preserve">By: </w:t>
            </w:r>
            <w:r>
              <w:t>Oliverson</w:t>
            </w:r>
          </w:p>
        </w:tc>
      </w:tr>
      <w:tr w:rsidR="000118F2" w:rsidTr="00345119">
        <w:tc>
          <w:tcPr>
            <w:tcW w:w="9576" w:type="dxa"/>
          </w:tcPr>
          <w:p w:rsidR="008423E4" w:rsidRPr="00861995" w:rsidRDefault="00C939FA" w:rsidP="00345119">
            <w:pPr>
              <w:jc w:val="right"/>
            </w:pPr>
            <w:r>
              <w:t>Criminal Jurisprudence</w:t>
            </w:r>
          </w:p>
        </w:tc>
      </w:tr>
      <w:tr w:rsidR="000118F2" w:rsidTr="00345119">
        <w:tc>
          <w:tcPr>
            <w:tcW w:w="9576" w:type="dxa"/>
          </w:tcPr>
          <w:p w:rsidR="008423E4" w:rsidRDefault="00C939F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939FA" w:rsidP="008423E4">
      <w:pPr>
        <w:tabs>
          <w:tab w:val="right" w:pos="9360"/>
        </w:tabs>
      </w:pPr>
    </w:p>
    <w:p w:rsidR="008423E4" w:rsidRDefault="00C939FA" w:rsidP="008423E4"/>
    <w:p w:rsidR="008423E4" w:rsidRDefault="00C939F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118F2" w:rsidTr="00345119">
        <w:tc>
          <w:tcPr>
            <w:tcW w:w="9576" w:type="dxa"/>
          </w:tcPr>
          <w:p w:rsidR="008423E4" w:rsidRPr="00A8133F" w:rsidRDefault="00C939FA" w:rsidP="00DD6A8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939FA" w:rsidP="00DD6A8F"/>
          <w:p w:rsidR="008423E4" w:rsidRDefault="00C939FA" w:rsidP="00DD6A8F">
            <w:pPr>
              <w:pStyle w:val="Header"/>
              <w:jc w:val="both"/>
            </w:pPr>
            <w:r>
              <w:t xml:space="preserve">Interested parties note that </w:t>
            </w:r>
            <w:r>
              <w:t xml:space="preserve">when an offender </w:t>
            </w:r>
            <w:r>
              <w:t xml:space="preserve">commits a burglary </w:t>
            </w:r>
            <w:r>
              <w:t>knowing someone</w:t>
            </w:r>
            <w:r>
              <w:t xml:space="preserve"> is</w:t>
            </w:r>
            <w:r>
              <w:t xml:space="preserve"> </w:t>
            </w:r>
            <w:r>
              <w:t xml:space="preserve">in the </w:t>
            </w:r>
            <w:r>
              <w:t>home</w:t>
            </w:r>
            <w:r>
              <w:t xml:space="preserve">, the possibility </w:t>
            </w:r>
            <w:r>
              <w:t xml:space="preserve">of physical harm, including death, </w:t>
            </w:r>
            <w:r>
              <w:t>increases and contend that</w:t>
            </w:r>
            <w:r>
              <w:t xml:space="preserve"> such </w:t>
            </w:r>
            <w:r>
              <w:t xml:space="preserve">offenders are </w:t>
            </w:r>
            <w:r>
              <w:t xml:space="preserve">likely </w:t>
            </w:r>
            <w:r>
              <w:t xml:space="preserve">more violent than </w:t>
            </w:r>
            <w:r>
              <w:t>offenders</w:t>
            </w:r>
            <w:r>
              <w:t xml:space="preserve"> who </w:t>
            </w:r>
            <w:r>
              <w:t xml:space="preserve">avoid </w:t>
            </w:r>
            <w:r>
              <w:t>commit</w:t>
            </w:r>
            <w:r>
              <w:t>ting</w:t>
            </w:r>
            <w:r>
              <w:t xml:space="preserve"> burglary</w:t>
            </w:r>
            <w:r>
              <w:t xml:space="preserve"> when</w:t>
            </w:r>
            <w:r>
              <w:t xml:space="preserve"> </w:t>
            </w:r>
            <w:r>
              <w:t>someone is in the home</w:t>
            </w:r>
            <w:r>
              <w:t>. H.B. 3786 seeks to ensure that an offender</w:t>
            </w:r>
            <w:r>
              <w:t xml:space="preserve"> who commits burglary knowing someone i</w:t>
            </w:r>
            <w:r>
              <w:t>s in the home</w:t>
            </w:r>
            <w:r>
              <w:t xml:space="preserve"> is </w:t>
            </w:r>
            <w:r>
              <w:t>ineligible</w:t>
            </w:r>
            <w:r>
              <w:t xml:space="preserve"> </w:t>
            </w:r>
            <w:r>
              <w:t xml:space="preserve">to serve </w:t>
            </w:r>
            <w:r>
              <w:t>the offender's</w:t>
            </w:r>
            <w:r>
              <w:t xml:space="preserve"> </w:t>
            </w:r>
            <w:r>
              <w:t>sentence on community supervision</w:t>
            </w:r>
            <w:r>
              <w:t>.</w:t>
            </w:r>
          </w:p>
          <w:p w:rsidR="008423E4" w:rsidRPr="00E26B13" w:rsidRDefault="00C939FA" w:rsidP="00DD6A8F">
            <w:pPr>
              <w:rPr>
                <w:b/>
              </w:rPr>
            </w:pPr>
          </w:p>
        </w:tc>
      </w:tr>
      <w:tr w:rsidR="000118F2" w:rsidTr="00345119">
        <w:tc>
          <w:tcPr>
            <w:tcW w:w="9576" w:type="dxa"/>
          </w:tcPr>
          <w:p w:rsidR="0017725B" w:rsidRDefault="00C939FA" w:rsidP="00DD6A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939FA" w:rsidP="00DD6A8F">
            <w:pPr>
              <w:rPr>
                <w:b/>
                <w:u w:val="single"/>
              </w:rPr>
            </w:pPr>
          </w:p>
          <w:p w:rsidR="00330B96" w:rsidRPr="00330B96" w:rsidRDefault="00C939FA" w:rsidP="00DD6A8F">
            <w:pPr>
              <w:jc w:val="both"/>
            </w:pPr>
            <w:r>
              <w:t>It is the committee's opinion that this bill expressly does one or more of the following: creates a criminal offense, increases the punishment</w:t>
            </w:r>
            <w:r>
              <w:t xml:space="preserve"> for an existing criminal offense or category of offenses, or changes the eligibility of a person for community supervision, parole, or mandatory supervision.</w:t>
            </w:r>
          </w:p>
          <w:p w:rsidR="0017725B" w:rsidRPr="0017725B" w:rsidRDefault="00C939FA" w:rsidP="00DD6A8F">
            <w:pPr>
              <w:rPr>
                <w:b/>
                <w:u w:val="single"/>
              </w:rPr>
            </w:pPr>
          </w:p>
        </w:tc>
      </w:tr>
      <w:tr w:rsidR="000118F2" w:rsidTr="00345119">
        <w:tc>
          <w:tcPr>
            <w:tcW w:w="9576" w:type="dxa"/>
          </w:tcPr>
          <w:p w:rsidR="008423E4" w:rsidRPr="00A8133F" w:rsidRDefault="00C939FA" w:rsidP="00DD6A8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939FA" w:rsidP="00DD6A8F"/>
          <w:p w:rsidR="00330B96" w:rsidRDefault="00C939FA" w:rsidP="00DD6A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</w:t>
            </w:r>
            <w:r>
              <w:t>any additional rulemaking authority to a state officer, department, agency, or institution.</w:t>
            </w:r>
          </w:p>
          <w:p w:rsidR="008423E4" w:rsidRPr="00E21FDC" w:rsidRDefault="00C939FA" w:rsidP="00DD6A8F">
            <w:pPr>
              <w:rPr>
                <w:b/>
              </w:rPr>
            </w:pPr>
          </w:p>
        </w:tc>
      </w:tr>
      <w:tr w:rsidR="000118F2" w:rsidTr="00345119">
        <w:tc>
          <w:tcPr>
            <w:tcW w:w="9576" w:type="dxa"/>
          </w:tcPr>
          <w:p w:rsidR="008423E4" w:rsidRPr="00A8133F" w:rsidRDefault="00C939FA" w:rsidP="00DD6A8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939FA" w:rsidP="00DD6A8F"/>
          <w:p w:rsidR="008423E4" w:rsidRDefault="00C939FA" w:rsidP="00DD6A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3786 amends the Code of Criminal Procedure to </w:t>
            </w:r>
            <w:r>
              <w:t>make</w:t>
            </w:r>
            <w:r>
              <w:t xml:space="preserve"> a defendant </w:t>
            </w:r>
            <w:r>
              <w:t>who is convicted of burglary in</w:t>
            </w:r>
            <w:r>
              <w:t xml:space="preserve">eligible for </w:t>
            </w:r>
            <w:r>
              <w:t xml:space="preserve">jury-recommended </w:t>
            </w:r>
            <w:r>
              <w:t>community supervisio</w:t>
            </w:r>
            <w:r>
              <w:t xml:space="preserve">n </w:t>
            </w:r>
            <w:r>
              <w:t>if it is shown on the tria</w:t>
            </w:r>
            <w:r>
              <w:t>l of the offense that the offense was committed in</w:t>
            </w:r>
            <w:r>
              <w:t xml:space="preserve"> a</w:t>
            </w:r>
            <w:r>
              <w:t xml:space="preserve"> habitation and the defendant knew at the time of the offense that another person was present in the habitation.</w:t>
            </w:r>
          </w:p>
          <w:p w:rsidR="008423E4" w:rsidRPr="00835628" w:rsidRDefault="00C939FA" w:rsidP="00DD6A8F">
            <w:pPr>
              <w:rPr>
                <w:b/>
              </w:rPr>
            </w:pPr>
          </w:p>
        </w:tc>
      </w:tr>
      <w:tr w:rsidR="000118F2" w:rsidTr="00345119">
        <w:tc>
          <w:tcPr>
            <w:tcW w:w="9576" w:type="dxa"/>
          </w:tcPr>
          <w:p w:rsidR="008423E4" w:rsidRPr="00A8133F" w:rsidRDefault="00C939FA" w:rsidP="00DD6A8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939FA" w:rsidP="00DD6A8F"/>
          <w:p w:rsidR="008423E4" w:rsidRPr="003624F2" w:rsidRDefault="00C939FA" w:rsidP="00DD6A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939FA" w:rsidP="00DD6A8F">
            <w:pPr>
              <w:rPr>
                <w:b/>
              </w:rPr>
            </w:pPr>
          </w:p>
        </w:tc>
      </w:tr>
    </w:tbl>
    <w:p w:rsidR="004108C3" w:rsidRPr="008423E4" w:rsidRDefault="00C939F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39FA">
      <w:r>
        <w:separator/>
      </w:r>
    </w:p>
  </w:endnote>
  <w:endnote w:type="continuationSeparator" w:id="0">
    <w:p w:rsidR="00000000" w:rsidRDefault="00C9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118F2" w:rsidTr="009C1E9A">
      <w:trPr>
        <w:cantSplit/>
      </w:trPr>
      <w:tc>
        <w:tcPr>
          <w:tcW w:w="0" w:type="pct"/>
        </w:tcPr>
        <w:p w:rsidR="00137D90" w:rsidRDefault="00C939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939F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939F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939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939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118F2" w:rsidTr="009C1E9A">
      <w:trPr>
        <w:cantSplit/>
      </w:trPr>
      <w:tc>
        <w:tcPr>
          <w:tcW w:w="0" w:type="pct"/>
        </w:tcPr>
        <w:p w:rsidR="00EC379B" w:rsidRDefault="00C939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939F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24823</w:t>
          </w:r>
        </w:p>
      </w:tc>
      <w:tc>
        <w:tcPr>
          <w:tcW w:w="2453" w:type="pct"/>
        </w:tcPr>
        <w:p w:rsidR="00EC379B" w:rsidRDefault="00C939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17.110.550</w:t>
          </w:r>
          <w:r>
            <w:fldChar w:fldCharType="end"/>
          </w:r>
        </w:p>
      </w:tc>
    </w:tr>
    <w:tr w:rsidR="000118F2" w:rsidTr="009C1E9A">
      <w:trPr>
        <w:cantSplit/>
      </w:trPr>
      <w:tc>
        <w:tcPr>
          <w:tcW w:w="0" w:type="pct"/>
        </w:tcPr>
        <w:p w:rsidR="00EC379B" w:rsidRDefault="00C939F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939F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939FA" w:rsidP="006D504F">
          <w:pPr>
            <w:pStyle w:val="Footer"/>
            <w:rPr>
              <w:rStyle w:val="PageNumber"/>
            </w:rPr>
          </w:pPr>
        </w:p>
        <w:p w:rsidR="00EC379B" w:rsidRDefault="00C939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118F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939F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939F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939F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39FA">
      <w:r>
        <w:separator/>
      </w:r>
    </w:p>
  </w:footnote>
  <w:footnote w:type="continuationSeparator" w:id="0">
    <w:p w:rsidR="00000000" w:rsidRDefault="00C93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F2"/>
    <w:rsid w:val="000118F2"/>
    <w:rsid w:val="00C9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30B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0B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0B96"/>
  </w:style>
  <w:style w:type="paragraph" w:styleId="CommentSubject">
    <w:name w:val="annotation subject"/>
    <w:basedOn w:val="CommentText"/>
    <w:next w:val="CommentText"/>
    <w:link w:val="CommentSubjectChar"/>
    <w:rsid w:val="00330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0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30B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0B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0B96"/>
  </w:style>
  <w:style w:type="paragraph" w:styleId="CommentSubject">
    <w:name w:val="annotation subject"/>
    <w:basedOn w:val="CommentText"/>
    <w:next w:val="CommentText"/>
    <w:link w:val="CommentSubjectChar"/>
    <w:rsid w:val="00330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1237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HB03786 (Committee Report (Unamended))</vt:lpstr>
    </vt:vector>
  </TitlesOfParts>
  <Company>State of Texas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24823</dc:subject>
  <dc:creator>State of Texas</dc:creator>
  <dc:description>HB 3786 by Oliverson-(H)Criminal Jurisprudence</dc:description>
  <cp:lastModifiedBy>Molly Hoffman-Bricker</cp:lastModifiedBy>
  <cp:revision>2</cp:revision>
  <cp:lastPrinted>2017-04-22T17:24:00Z</cp:lastPrinted>
  <dcterms:created xsi:type="dcterms:W3CDTF">2017-05-05T00:04:00Z</dcterms:created>
  <dcterms:modified xsi:type="dcterms:W3CDTF">2017-05-05T00:04:00Z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17.110.550</vt:lpwstr>
  </property>
</Properties>
</file>