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2F35" w:rsidTr="00345119">
        <w:tc>
          <w:tcPr>
            <w:tcW w:w="9576" w:type="dxa"/>
            <w:noWrap/>
          </w:tcPr>
          <w:p w:rsidR="008423E4" w:rsidRPr="0022177D" w:rsidRDefault="00007867" w:rsidP="00345119">
            <w:pPr>
              <w:pStyle w:val="Heading1"/>
            </w:pPr>
            <w:bookmarkStart w:id="0" w:name="_GoBack"/>
            <w:bookmarkEnd w:id="0"/>
            <w:r w:rsidRPr="00631897">
              <w:t>BILL ANALYSIS</w:t>
            </w:r>
          </w:p>
        </w:tc>
      </w:tr>
    </w:tbl>
    <w:p w:rsidR="008423E4" w:rsidRPr="0022177D" w:rsidRDefault="00007867" w:rsidP="008423E4">
      <w:pPr>
        <w:jc w:val="center"/>
      </w:pPr>
    </w:p>
    <w:p w:rsidR="008423E4" w:rsidRPr="00B31F0E" w:rsidRDefault="00007867" w:rsidP="008423E4"/>
    <w:p w:rsidR="008423E4" w:rsidRPr="00742794" w:rsidRDefault="00007867" w:rsidP="008423E4">
      <w:pPr>
        <w:tabs>
          <w:tab w:val="right" w:pos="9360"/>
        </w:tabs>
      </w:pPr>
    </w:p>
    <w:tbl>
      <w:tblPr>
        <w:tblW w:w="0" w:type="auto"/>
        <w:tblLayout w:type="fixed"/>
        <w:tblLook w:val="01E0" w:firstRow="1" w:lastRow="1" w:firstColumn="1" w:lastColumn="1" w:noHBand="0" w:noVBand="0"/>
      </w:tblPr>
      <w:tblGrid>
        <w:gridCol w:w="9576"/>
      </w:tblGrid>
      <w:tr w:rsidR="00C52F35" w:rsidTr="00345119">
        <w:tc>
          <w:tcPr>
            <w:tcW w:w="9576" w:type="dxa"/>
          </w:tcPr>
          <w:p w:rsidR="008423E4" w:rsidRPr="00861995" w:rsidRDefault="00007867" w:rsidP="00345119">
            <w:pPr>
              <w:jc w:val="right"/>
            </w:pPr>
            <w:r>
              <w:t>H.B. 3991</w:t>
            </w:r>
          </w:p>
        </w:tc>
      </w:tr>
      <w:tr w:rsidR="00C52F35" w:rsidTr="00345119">
        <w:tc>
          <w:tcPr>
            <w:tcW w:w="9576" w:type="dxa"/>
          </w:tcPr>
          <w:p w:rsidR="008423E4" w:rsidRPr="00861995" w:rsidRDefault="00007867" w:rsidP="00001984">
            <w:pPr>
              <w:jc w:val="right"/>
            </w:pPr>
            <w:r>
              <w:t xml:space="preserve">By: </w:t>
            </w:r>
            <w:r>
              <w:t>Larson</w:t>
            </w:r>
          </w:p>
        </w:tc>
      </w:tr>
      <w:tr w:rsidR="00C52F35" w:rsidTr="00345119">
        <w:tc>
          <w:tcPr>
            <w:tcW w:w="9576" w:type="dxa"/>
          </w:tcPr>
          <w:p w:rsidR="008423E4" w:rsidRPr="00861995" w:rsidRDefault="00007867" w:rsidP="00345119">
            <w:pPr>
              <w:jc w:val="right"/>
            </w:pPr>
            <w:r>
              <w:t>Natural Resources</w:t>
            </w:r>
          </w:p>
        </w:tc>
      </w:tr>
      <w:tr w:rsidR="00C52F35" w:rsidTr="00345119">
        <w:tc>
          <w:tcPr>
            <w:tcW w:w="9576" w:type="dxa"/>
          </w:tcPr>
          <w:p w:rsidR="008423E4" w:rsidRDefault="00007867" w:rsidP="00345119">
            <w:pPr>
              <w:jc w:val="right"/>
            </w:pPr>
            <w:r>
              <w:t>Committee Report (Unamended)</w:t>
            </w:r>
          </w:p>
        </w:tc>
      </w:tr>
    </w:tbl>
    <w:p w:rsidR="008423E4" w:rsidRDefault="00007867" w:rsidP="008423E4">
      <w:pPr>
        <w:tabs>
          <w:tab w:val="right" w:pos="9360"/>
        </w:tabs>
      </w:pPr>
    </w:p>
    <w:p w:rsidR="008423E4" w:rsidRDefault="00007867" w:rsidP="008423E4"/>
    <w:p w:rsidR="008423E4" w:rsidRDefault="00007867" w:rsidP="008423E4"/>
    <w:tbl>
      <w:tblPr>
        <w:tblW w:w="0" w:type="auto"/>
        <w:tblCellMar>
          <w:left w:w="115" w:type="dxa"/>
          <w:right w:w="115" w:type="dxa"/>
        </w:tblCellMar>
        <w:tblLook w:val="01E0" w:firstRow="1" w:lastRow="1" w:firstColumn="1" w:lastColumn="1" w:noHBand="0" w:noVBand="0"/>
      </w:tblPr>
      <w:tblGrid>
        <w:gridCol w:w="9576"/>
      </w:tblGrid>
      <w:tr w:rsidR="00C52F35" w:rsidTr="00345119">
        <w:tc>
          <w:tcPr>
            <w:tcW w:w="9576" w:type="dxa"/>
          </w:tcPr>
          <w:p w:rsidR="008423E4" w:rsidRPr="00A8133F" w:rsidRDefault="00007867" w:rsidP="00A8216C">
            <w:pPr>
              <w:rPr>
                <w:b/>
              </w:rPr>
            </w:pPr>
            <w:r w:rsidRPr="009C1E9A">
              <w:rPr>
                <w:b/>
                <w:u w:val="single"/>
              </w:rPr>
              <w:t>BACKGROUND AND PURPOSE</w:t>
            </w:r>
            <w:r>
              <w:rPr>
                <w:b/>
              </w:rPr>
              <w:t xml:space="preserve"> </w:t>
            </w:r>
          </w:p>
          <w:p w:rsidR="008423E4" w:rsidRDefault="00007867" w:rsidP="00A8216C"/>
          <w:p w:rsidR="008423E4" w:rsidRDefault="00007867" w:rsidP="00A8216C">
            <w:pPr>
              <w:pStyle w:val="Header"/>
              <w:jc w:val="both"/>
            </w:pPr>
            <w:r>
              <w:t xml:space="preserve">Interested parties note a need </w:t>
            </w:r>
            <w:r>
              <w:t xml:space="preserve">to remove permitting barriers for </w:t>
            </w:r>
            <w:r>
              <w:t>aquifer storage and recovery</w:t>
            </w:r>
            <w:r>
              <w:t xml:space="preserve"> projects</w:t>
            </w:r>
            <w:r>
              <w:t xml:space="preserve"> and to provide for additional water to be used in such projects</w:t>
            </w:r>
            <w:r>
              <w:t xml:space="preserve">. </w:t>
            </w:r>
            <w:r>
              <w:t xml:space="preserve">H.B. 3991 seeks to address these issues by setting out provisions </w:t>
            </w:r>
            <w:r w:rsidRPr="004E1CBD">
              <w:t>relating to appropriations of water for use in aquifer storage and recovery projects</w:t>
            </w:r>
            <w:r>
              <w:t>.</w:t>
            </w:r>
          </w:p>
          <w:p w:rsidR="008423E4" w:rsidRPr="00E26B13" w:rsidRDefault="00007867" w:rsidP="00A8216C">
            <w:pPr>
              <w:rPr>
                <w:b/>
              </w:rPr>
            </w:pPr>
          </w:p>
        </w:tc>
      </w:tr>
      <w:tr w:rsidR="00C52F35" w:rsidTr="00345119">
        <w:tc>
          <w:tcPr>
            <w:tcW w:w="9576" w:type="dxa"/>
          </w:tcPr>
          <w:p w:rsidR="0017725B" w:rsidRDefault="00007867" w:rsidP="00A8216C">
            <w:pPr>
              <w:rPr>
                <w:b/>
                <w:u w:val="single"/>
              </w:rPr>
            </w:pPr>
            <w:r>
              <w:rPr>
                <w:b/>
                <w:u w:val="single"/>
              </w:rPr>
              <w:t>CRIMINAL JUSTICE IMPACT</w:t>
            </w:r>
          </w:p>
          <w:p w:rsidR="0017725B" w:rsidRDefault="00007867" w:rsidP="00A8216C">
            <w:pPr>
              <w:rPr>
                <w:b/>
                <w:u w:val="single"/>
              </w:rPr>
            </w:pPr>
          </w:p>
          <w:p w:rsidR="00A06EAB" w:rsidRPr="00A06EAB" w:rsidRDefault="00007867" w:rsidP="00A8216C">
            <w:pPr>
              <w:jc w:val="both"/>
            </w:pPr>
            <w:r>
              <w:t>It is the c</w:t>
            </w:r>
            <w:r>
              <w:t>ommittee's opinion that this bill does not expressly create a criminal offense, increase the punishment for an existing criminal offense or category of offenses, or change the eligibility of a person for community supervision, parole, or mandatory supervis</w:t>
            </w:r>
            <w:r>
              <w:t>ion.</w:t>
            </w:r>
          </w:p>
          <w:p w:rsidR="0017725B" w:rsidRPr="0017725B" w:rsidRDefault="00007867" w:rsidP="00A8216C">
            <w:pPr>
              <w:rPr>
                <w:b/>
                <w:u w:val="single"/>
              </w:rPr>
            </w:pPr>
          </w:p>
        </w:tc>
      </w:tr>
      <w:tr w:rsidR="00C52F35" w:rsidTr="00345119">
        <w:tc>
          <w:tcPr>
            <w:tcW w:w="9576" w:type="dxa"/>
          </w:tcPr>
          <w:p w:rsidR="008423E4" w:rsidRPr="00A8133F" w:rsidRDefault="00007867" w:rsidP="00A8216C">
            <w:pPr>
              <w:rPr>
                <w:b/>
              </w:rPr>
            </w:pPr>
            <w:r w:rsidRPr="009C1E9A">
              <w:rPr>
                <w:b/>
                <w:u w:val="single"/>
              </w:rPr>
              <w:t>RULEMAKING AUTHORITY</w:t>
            </w:r>
            <w:r>
              <w:rPr>
                <w:b/>
              </w:rPr>
              <w:t xml:space="preserve"> </w:t>
            </w:r>
          </w:p>
          <w:p w:rsidR="008423E4" w:rsidRDefault="00007867" w:rsidP="00A8216C"/>
          <w:p w:rsidR="002A584D" w:rsidRDefault="00007867" w:rsidP="00A8216C">
            <w:pPr>
              <w:pStyle w:val="Header"/>
              <w:tabs>
                <w:tab w:val="clear" w:pos="4320"/>
                <w:tab w:val="clear" w:pos="8640"/>
              </w:tabs>
              <w:jc w:val="both"/>
            </w:pPr>
            <w:r>
              <w:t xml:space="preserve">It is the committee's opinion that rulemaking authority is expressly granted to the </w:t>
            </w:r>
            <w:r w:rsidRPr="00A83059">
              <w:t>Texas Commission on Environmental Quality</w:t>
            </w:r>
            <w:r>
              <w:t xml:space="preserve"> in SECTION</w:t>
            </w:r>
            <w:r>
              <w:t>S</w:t>
            </w:r>
            <w:r>
              <w:t xml:space="preserve"> 1</w:t>
            </w:r>
            <w:r>
              <w:t xml:space="preserve"> and 2</w:t>
            </w:r>
            <w:r>
              <w:t xml:space="preserve"> of this bill.</w:t>
            </w:r>
          </w:p>
          <w:p w:rsidR="008423E4" w:rsidRPr="00E21FDC" w:rsidRDefault="00007867" w:rsidP="00A8216C">
            <w:pPr>
              <w:rPr>
                <w:b/>
              </w:rPr>
            </w:pPr>
          </w:p>
        </w:tc>
      </w:tr>
      <w:tr w:rsidR="00C52F35" w:rsidTr="00345119">
        <w:tc>
          <w:tcPr>
            <w:tcW w:w="9576" w:type="dxa"/>
          </w:tcPr>
          <w:p w:rsidR="008423E4" w:rsidRPr="00A8133F" w:rsidRDefault="00007867" w:rsidP="00A8216C">
            <w:pPr>
              <w:rPr>
                <w:b/>
              </w:rPr>
            </w:pPr>
            <w:r w:rsidRPr="009C1E9A">
              <w:rPr>
                <w:b/>
                <w:u w:val="single"/>
              </w:rPr>
              <w:t>ANALYSIS</w:t>
            </w:r>
            <w:r>
              <w:rPr>
                <w:b/>
              </w:rPr>
              <w:t xml:space="preserve"> </w:t>
            </w:r>
          </w:p>
          <w:p w:rsidR="008423E4" w:rsidRDefault="00007867" w:rsidP="00A8216C"/>
          <w:p w:rsidR="008423E4" w:rsidRDefault="00007867" w:rsidP="00A8216C">
            <w:pPr>
              <w:pStyle w:val="Header"/>
              <w:jc w:val="both"/>
            </w:pPr>
            <w:r>
              <w:t xml:space="preserve">H.B. 3991 amends the Water Code to authorize an aquifer storage and recovery project to involve the use of water derived from multiple sources, including a new appropriation of water. The bill </w:t>
            </w:r>
            <w:r>
              <w:t>requires</w:t>
            </w:r>
            <w:r>
              <w:t xml:space="preserve"> a water right or an amendment to a water right authori</w:t>
            </w:r>
            <w:r>
              <w:t xml:space="preserve">zing a new appropriation of water for use in an aquifer storage and recovery project to include any special conditions the </w:t>
            </w:r>
            <w:r w:rsidRPr="00FA4D26">
              <w:t>Texas Commission on Environmental Quality (TCEQ)</w:t>
            </w:r>
            <w:r>
              <w:t xml:space="preserve"> considers necessary to implement provisions relating to projects for the storage of </w:t>
            </w:r>
            <w:r>
              <w:t>appropriate</w:t>
            </w:r>
            <w:r>
              <w:t>d</w:t>
            </w:r>
            <w:r>
              <w:t xml:space="preserve"> water in aquifers</w:t>
            </w:r>
            <w:r>
              <w:t>,</w:t>
            </w:r>
            <w:r>
              <w:t xml:space="preserve"> authorize</w:t>
            </w:r>
            <w:r>
              <w:t>s the right or amendment</w:t>
            </w:r>
            <w:r>
              <w:t xml:space="preserve"> to</w:t>
            </w:r>
            <w:r>
              <w:t xml:space="preserve"> be for water that is not continuously available</w:t>
            </w:r>
            <w:r>
              <w:t>,</w:t>
            </w:r>
            <w:r>
              <w:t xml:space="preserve"> authorize</w:t>
            </w:r>
            <w:r>
              <w:t>s the right or amendment</w:t>
            </w:r>
            <w:r>
              <w:t xml:space="preserve"> to</w:t>
            </w:r>
            <w:r>
              <w:t xml:space="preserve"> authorize the diversion and use of excess flows in a watercourse or stream that would otherwise flow </w:t>
            </w:r>
            <w:r>
              <w:t>into the Gulf of Mexico</w:t>
            </w:r>
            <w:r>
              <w:t>,</w:t>
            </w:r>
            <w:r>
              <w:t xml:space="preserve"> and</w:t>
            </w:r>
            <w:r>
              <w:t xml:space="preserve"> prohibit</w:t>
            </w:r>
            <w:r>
              <w:t xml:space="preserve">s the right or amendment </w:t>
            </w:r>
            <w:r>
              <w:t>from</w:t>
            </w:r>
            <w:r>
              <w:t xml:space="preserve"> </w:t>
            </w:r>
            <w:r>
              <w:t>interfering with or negatively affect</w:t>
            </w:r>
            <w:r>
              <w:t>ing</w:t>
            </w:r>
            <w:r>
              <w:t xml:space="preserve"> </w:t>
            </w:r>
            <w:r>
              <w:t>existing water rights in the same river basin as the diversion point for the new appropriation or</w:t>
            </w:r>
            <w:r>
              <w:t xml:space="preserve"> interfering with or negatively affecting</w:t>
            </w:r>
            <w:r>
              <w:t xml:space="preserve"> </w:t>
            </w:r>
            <w:r>
              <w:t>applicabl</w:t>
            </w:r>
            <w:r>
              <w:t>e environmental flow standards.</w:t>
            </w:r>
            <w:r>
              <w:t xml:space="preserve"> The bill requires </w:t>
            </w:r>
            <w:r>
              <w:t>TCEQ</w:t>
            </w:r>
            <w:r>
              <w:t>, before approving an application for a water right or an amendment to a water right for a new appropriation of water in the Rio Grande basin for an aquifer storage and recovery project, to consider the</w:t>
            </w:r>
            <w:r>
              <w:t xml:space="preserve"> water accounting requirements for any international water sharing treaty, minutes, and agreement applicable to the Rio Grande basin and the effect of the project on the allocation of water by the Rio Grande watermaster in the middle and lower Rio Grande. </w:t>
            </w:r>
            <w:r>
              <w:t>The</w:t>
            </w:r>
            <w:r>
              <w:t xml:space="preserve"> bill prohibits </w:t>
            </w:r>
            <w:r>
              <w:t>TCEQ</w:t>
            </w:r>
            <w:r>
              <w:t xml:space="preserve"> </w:t>
            </w:r>
            <w:r>
              <w:t>from</w:t>
            </w:r>
            <w:r>
              <w:t xml:space="preserve"> authoriz</w:t>
            </w:r>
            <w:r>
              <w:t>ing</w:t>
            </w:r>
            <w:r>
              <w:t xml:space="preserve"> a new appropriation of water that would result in a violation of a treaty or court decision.</w:t>
            </w:r>
            <w:r>
              <w:t xml:space="preserve"> </w:t>
            </w:r>
            <w:r>
              <w:t>The</w:t>
            </w:r>
            <w:r>
              <w:t xml:space="preserve"> bill authorizes </w:t>
            </w:r>
            <w:r>
              <w:t>TCEQ</w:t>
            </w:r>
            <w:r>
              <w:t xml:space="preserve"> </w:t>
            </w:r>
            <w:r>
              <w:t>to</w:t>
            </w:r>
            <w:r>
              <w:t xml:space="preserve"> adopt rules providing an expedited procedure for acting on an application for a water right or</w:t>
            </w:r>
            <w:r>
              <w:t xml:space="preserve"> an amendment to a water right </w:t>
            </w:r>
            <w:r>
              <w:t>under</w:t>
            </w:r>
            <w:r>
              <w:t xml:space="preserve"> provisions relating to projects for the storage of appropriated water in aquifers</w:t>
            </w:r>
            <w:r>
              <w:t>.</w:t>
            </w:r>
          </w:p>
          <w:p w:rsidR="002A584D" w:rsidRDefault="00007867" w:rsidP="00A8216C">
            <w:pPr>
              <w:pStyle w:val="Header"/>
              <w:jc w:val="both"/>
            </w:pPr>
          </w:p>
          <w:p w:rsidR="002A584D" w:rsidRDefault="00007867" w:rsidP="00A8216C">
            <w:pPr>
              <w:pStyle w:val="Header"/>
              <w:jc w:val="both"/>
            </w:pPr>
            <w:r>
              <w:t xml:space="preserve">H.B. 3991 </w:t>
            </w:r>
            <w:r>
              <w:t>authorizes a holder of a water right authorizing an appropriation of water for storage in a storage reservoir that has not be</w:t>
            </w:r>
            <w:r>
              <w:t xml:space="preserve">en constructed to file an application for an amendment to the water right to change the use or purpose for which the appropriation is to be made to storage in </w:t>
            </w:r>
            <w:r>
              <w:lastRenderedPageBreak/>
              <w:t>an aquifer as part of an aquifer storage and recovery project. The bill authorizes the applicatio</w:t>
            </w:r>
            <w:r>
              <w:t xml:space="preserve">n to request an increase in the amount of water that may be diverted or the rate of diversion on the basis of an evaporation credit that takes into account the amount of water that would have evaporated if the storage reservoir had been constructed. </w:t>
            </w:r>
            <w:r>
              <w:t>The bi</w:t>
            </w:r>
            <w:r>
              <w:t>ll exempts</w:t>
            </w:r>
            <w:r>
              <w:t xml:space="preserve"> </w:t>
            </w:r>
            <w:r>
              <w:t xml:space="preserve">the </w:t>
            </w:r>
            <w:r>
              <w:t xml:space="preserve">application from any notice and hearing requirements of a statute, </w:t>
            </w:r>
            <w:r>
              <w:t xml:space="preserve">TCEQ </w:t>
            </w:r>
            <w:r>
              <w:t>rule, or permit condition and</w:t>
            </w:r>
            <w:r>
              <w:t xml:space="preserve"> </w:t>
            </w:r>
            <w:r>
              <w:t>prohibit</w:t>
            </w:r>
            <w:r>
              <w:t>s</w:t>
            </w:r>
            <w:r>
              <w:t xml:space="preserve"> the application</w:t>
            </w:r>
            <w:r>
              <w:t xml:space="preserve"> from</w:t>
            </w:r>
            <w:r>
              <w:t xml:space="preserve"> be</w:t>
            </w:r>
            <w:r>
              <w:t>ing</w:t>
            </w:r>
            <w:r>
              <w:t xml:space="preserve"> referred to the State Office of Administrative Hearings for a contested case hearing if t</w:t>
            </w:r>
            <w:r>
              <w:t xml:space="preserve">he </w:t>
            </w:r>
            <w:r>
              <w:t>application does not request</w:t>
            </w:r>
            <w:r>
              <w:t xml:space="preserve"> an increase in the amount of water that may be di</w:t>
            </w:r>
            <w:r>
              <w:t>verted or the rate of diversion</w:t>
            </w:r>
            <w:r>
              <w:t xml:space="preserve"> or </w:t>
            </w:r>
            <w:r>
              <w:t xml:space="preserve">does not request </w:t>
            </w:r>
            <w:r>
              <w:t>a change in the diversion point</w:t>
            </w:r>
            <w:r>
              <w:t xml:space="preserve">. The bill </w:t>
            </w:r>
            <w:r>
              <w:t>subject</w:t>
            </w:r>
            <w:r>
              <w:t xml:space="preserve">s </w:t>
            </w:r>
            <w:r>
              <w:t>the</w:t>
            </w:r>
            <w:r>
              <w:t xml:space="preserve"> application</w:t>
            </w:r>
            <w:r>
              <w:t xml:space="preserve"> to the notice and hearing requirements of </w:t>
            </w:r>
            <w:r>
              <w:t>water rights</w:t>
            </w:r>
            <w:r>
              <w:t xml:space="preserve"> prov</w:t>
            </w:r>
            <w:r>
              <w:t>isions</w:t>
            </w:r>
            <w:r>
              <w:t xml:space="preserve"> if the application requests</w:t>
            </w:r>
            <w:r>
              <w:t xml:space="preserve"> </w:t>
            </w:r>
            <w:r>
              <w:t>an increase in the amount of water that may be diverted or the rate of diversion, including an increase on the basis of an evaporation credit</w:t>
            </w:r>
            <w:r>
              <w:t>,</w:t>
            </w:r>
            <w:r>
              <w:t xml:space="preserve"> or </w:t>
            </w:r>
            <w:r>
              <w:t xml:space="preserve">requests </w:t>
            </w:r>
            <w:r>
              <w:t xml:space="preserve">a change in the diversion point. </w:t>
            </w:r>
            <w:r>
              <w:t>T</w:t>
            </w:r>
            <w:r>
              <w:t xml:space="preserve">he bill requires </w:t>
            </w:r>
            <w:r>
              <w:t>TCEQ, i</w:t>
            </w:r>
            <w:r w:rsidRPr="008F739C">
              <w:t xml:space="preserve">f </w:t>
            </w:r>
            <w:r>
              <w:t>TCEQ</w:t>
            </w:r>
            <w:r w:rsidRPr="008F739C">
              <w:t xml:space="preserve"> g</w:t>
            </w:r>
            <w:r w:rsidRPr="008F739C">
              <w:t xml:space="preserve">rants an application </w:t>
            </w:r>
            <w:r>
              <w:t>subject to notice and hearing requirements,</w:t>
            </w:r>
            <w:r>
              <w:t xml:space="preserve"> to</w:t>
            </w:r>
            <w:r>
              <w:t xml:space="preserve"> include in </w:t>
            </w:r>
            <w:r>
              <w:t xml:space="preserve">the </w:t>
            </w:r>
            <w:r>
              <w:t xml:space="preserve">amendment any special conditions </w:t>
            </w:r>
            <w:r>
              <w:t>TCEQ</w:t>
            </w:r>
            <w:r>
              <w:t xml:space="preserve"> considers necessary to</w:t>
            </w:r>
            <w:r>
              <w:t xml:space="preserve"> protect existing water rights and comply with any applicable environmental flow standards. The</w:t>
            </w:r>
            <w:r>
              <w:t xml:space="preserve"> bill authorizes </w:t>
            </w:r>
            <w:r>
              <w:t>T</w:t>
            </w:r>
            <w:r>
              <w:t>CEQ</w:t>
            </w:r>
            <w:r>
              <w:t xml:space="preserve"> </w:t>
            </w:r>
            <w:r>
              <w:t>to</w:t>
            </w:r>
            <w:r>
              <w:t xml:space="preserve"> adopt rules providing an expedited procedure for acting on an application for an amendment to </w:t>
            </w:r>
            <w:r>
              <w:t>a</w:t>
            </w:r>
            <w:r>
              <w:t xml:space="preserve"> water right</w:t>
            </w:r>
            <w:r>
              <w:t xml:space="preserve"> under these provisions of the bill</w:t>
            </w:r>
            <w:r>
              <w:t>.</w:t>
            </w:r>
          </w:p>
          <w:p w:rsidR="008423E4" w:rsidRPr="00835628" w:rsidRDefault="00007867" w:rsidP="00A8216C">
            <w:pPr>
              <w:rPr>
                <w:b/>
              </w:rPr>
            </w:pPr>
          </w:p>
        </w:tc>
      </w:tr>
      <w:tr w:rsidR="00C52F35" w:rsidTr="00345119">
        <w:tc>
          <w:tcPr>
            <w:tcW w:w="9576" w:type="dxa"/>
          </w:tcPr>
          <w:p w:rsidR="008423E4" w:rsidRPr="00A8133F" w:rsidRDefault="00007867" w:rsidP="00A8216C">
            <w:pPr>
              <w:rPr>
                <w:b/>
              </w:rPr>
            </w:pPr>
            <w:r w:rsidRPr="009C1E9A">
              <w:rPr>
                <w:b/>
                <w:u w:val="single"/>
              </w:rPr>
              <w:lastRenderedPageBreak/>
              <w:t>EFFECTIVE DATE</w:t>
            </w:r>
            <w:r>
              <w:rPr>
                <w:b/>
              </w:rPr>
              <w:t xml:space="preserve"> </w:t>
            </w:r>
          </w:p>
          <w:p w:rsidR="008423E4" w:rsidRDefault="00007867" w:rsidP="00A8216C"/>
          <w:p w:rsidR="008423E4" w:rsidRPr="003624F2" w:rsidRDefault="00007867" w:rsidP="00A8216C">
            <w:pPr>
              <w:pStyle w:val="Header"/>
              <w:tabs>
                <w:tab w:val="clear" w:pos="4320"/>
                <w:tab w:val="clear" w:pos="8640"/>
              </w:tabs>
              <w:jc w:val="both"/>
            </w:pPr>
            <w:r>
              <w:t>On passage, or, if the bill does not receive the necessary vote, September 1, 2017.</w:t>
            </w:r>
          </w:p>
          <w:p w:rsidR="008423E4" w:rsidRPr="00233FDB" w:rsidRDefault="00007867" w:rsidP="00A8216C">
            <w:pPr>
              <w:rPr>
                <w:b/>
              </w:rPr>
            </w:pPr>
          </w:p>
        </w:tc>
      </w:tr>
    </w:tbl>
    <w:p w:rsidR="008423E4" w:rsidRPr="00BE0E75" w:rsidRDefault="00007867" w:rsidP="008423E4">
      <w:pPr>
        <w:spacing w:line="480" w:lineRule="auto"/>
        <w:jc w:val="both"/>
        <w:rPr>
          <w:rFonts w:ascii="Arial" w:hAnsi="Arial"/>
          <w:sz w:val="16"/>
          <w:szCs w:val="16"/>
        </w:rPr>
      </w:pPr>
    </w:p>
    <w:p w:rsidR="004108C3" w:rsidRPr="008423E4" w:rsidRDefault="0000786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7867">
      <w:r>
        <w:separator/>
      </w:r>
    </w:p>
  </w:endnote>
  <w:endnote w:type="continuationSeparator" w:id="0">
    <w:p w:rsidR="00000000" w:rsidRDefault="0000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2F35" w:rsidTr="009C1E9A">
      <w:trPr>
        <w:cantSplit/>
      </w:trPr>
      <w:tc>
        <w:tcPr>
          <w:tcW w:w="0" w:type="pct"/>
        </w:tcPr>
        <w:p w:rsidR="00137D90" w:rsidRDefault="00007867" w:rsidP="009C1E9A">
          <w:pPr>
            <w:pStyle w:val="Footer"/>
            <w:tabs>
              <w:tab w:val="clear" w:pos="8640"/>
              <w:tab w:val="right" w:pos="9360"/>
            </w:tabs>
          </w:pPr>
        </w:p>
      </w:tc>
      <w:tc>
        <w:tcPr>
          <w:tcW w:w="2395" w:type="pct"/>
        </w:tcPr>
        <w:p w:rsidR="00137D90" w:rsidRDefault="00007867" w:rsidP="009C1E9A">
          <w:pPr>
            <w:pStyle w:val="Footer"/>
            <w:tabs>
              <w:tab w:val="clear" w:pos="8640"/>
              <w:tab w:val="right" w:pos="9360"/>
            </w:tabs>
          </w:pPr>
        </w:p>
        <w:p w:rsidR="001A4310" w:rsidRDefault="00007867" w:rsidP="009C1E9A">
          <w:pPr>
            <w:pStyle w:val="Footer"/>
            <w:tabs>
              <w:tab w:val="clear" w:pos="8640"/>
              <w:tab w:val="right" w:pos="9360"/>
            </w:tabs>
          </w:pPr>
        </w:p>
        <w:p w:rsidR="00137D90" w:rsidRDefault="00007867" w:rsidP="009C1E9A">
          <w:pPr>
            <w:pStyle w:val="Footer"/>
            <w:tabs>
              <w:tab w:val="clear" w:pos="8640"/>
              <w:tab w:val="right" w:pos="9360"/>
            </w:tabs>
          </w:pPr>
        </w:p>
      </w:tc>
      <w:tc>
        <w:tcPr>
          <w:tcW w:w="2453" w:type="pct"/>
        </w:tcPr>
        <w:p w:rsidR="00137D90" w:rsidRDefault="00007867" w:rsidP="009C1E9A">
          <w:pPr>
            <w:pStyle w:val="Footer"/>
            <w:tabs>
              <w:tab w:val="clear" w:pos="8640"/>
              <w:tab w:val="right" w:pos="9360"/>
            </w:tabs>
            <w:jc w:val="right"/>
          </w:pPr>
        </w:p>
      </w:tc>
    </w:tr>
    <w:tr w:rsidR="00C52F35" w:rsidTr="009C1E9A">
      <w:trPr>
        <w:cantSplit/>
      </w:trPr>
      <w:tc>
        <w:tcPr>
          <w:tcW w:w="0" w:type="pct"/>
        </w:tcPr>
        <w:p w:rsidR="00EC379B" w:rsidRDefault="00007867" w:rsidP="009C1E9A">
          <w:pPr>
            <w:pStyle w:val="Footer"/>
            <w:tabs>
              <w:tab w:val="clear" w:pos="8640"/>
              <w:tab w:val="right" w:pos="9360"/>
            </w:tabs>
          </w:pPr>
        </w:p>
      </w:tc>
      <w:tc>
        <w:tcPr>
          <w:tcW w:w="2395" w:type="pct"/>
        </w:tcPr>
        <w:p w:rsidR="00EC379B" w:rsidRPr="009C1E9A" w:rsidRDefault="00007867" w:rsidP="009C1E9A">
          <w:pPr>
            <w:pStyle w:val="Footer"/>
            <w:tabs>
              <w:tab w:val="clear" w:pos="8640"/>
              <w:tab w:val="right" w:pos="9360"/>
            </w:tabs>
            <w:rPr>
              <w:rFonts w:ascii="Shruti" w:hAnsi="Shruti"/>
              <w:sz w:val="22"/>
            </w:rPr>
          </w:pPr>
          <w:r>
            <w:rPr>
              <w:rFonts w:ascii="Shruti" w:hAnsi="Shruti"/>
              <w:sz w:val="22"/>
            </w:rPr>
            <w:t>85R 22611</w:t>
          </w:r>
        </w:p>
      </w:tc>
      <w:tc>
        <w:tcPr>
          <w:tcW w:w="2453" w:type="pct"/>
        </w:tcPr>
        <w:p w:rsidR="00EC379B" w:rsidRDefault="00007867" w:rsidP="009C1E9A">
          <w:pPr>
            <w:pStyle w:val="Footer"/>
            <w:tabs>
              <w:tab w:val="clear" w:pos="8640"/>
              <w:tab w:val="right" w:pos="9360"/>
            </w:tabs>
            <w:jc w:val="right"/>
          </w:pPr>
          <w:r>
            <w:fldChar w:fldCharType="begin"/>
          </w:r>
          <w:r>
            <w:instrText xml:space="preserve"> DOCPROPERTY  OTID  \* MERGEFORMAT </w:instrText>
          </w:r>
          <w:r>
            <w:fldChar w:fldCharType="separate"/>
          </w:r>
          <w:r>
            <w:t>17.98.280</w:t>
          </w:r>
          <w:r>
            <w:fldChar w:fldCharType="end"/>
          </w:r>
        </w:p>
      </w:tc>
    </w:tr>
    <w:tr w:rsidR="00C52F35" w:rsidTr="009C1E9A">
      <w:trPr>
        <w:cantSplit/>
      </w:trPr>
      <w:tc>
        <w:tcPr>
          <w:tcW w:w="0" w:type="pct"/>
        </w:tcPr>
        <w:p w:rsidR="00EC379B" w:rsidRDefault="00007867" w:rsidP="009C1E9A">
          <w:pPr>
            <w:pStyle w:val="Footer"/>
            <w:tabs>
              <w:tab w:val="clear" w:pos="4320"/>
              <w:tab w:val="clear" w:pos="8640"/>
              <w:tab w:val="left" w:pos="2865"/>
            </w:tabs>
          </w:pPr>
        </w:p>
      </w:tc>
      <w:tc>
        <w:tcPr>
          <w:tcW w:w="2395" w:type="pct"/>
        </w:tcPr>
        <w:p w:rsidR="00EC379B" w:rsidRPr="009C1E9A" w:rsidRDefault="00007867" w:rsidP="009C1E9A">
          <w:pPr>
            <w:pStyle w:val="Footer"/>
            <w:tabs>
              <w:tab w:val="clear" w:pos="4320"/>
              <w:tab w:val="clear" w:pos="8640"/>
              <w:tab w:val="left" w:pos="2865"/>
            </w:tabs>
            <w:rPr>
              <w:rFonts w:ascii="Shruti" w:hAnsi="Shruti"/>
              <w:sz w:val="22"/>
            </w:rPr>
          </w:pPr>
        </w:p>
      </w:tc>
      <w:tc>
        <w:tcPr>
          <w:tcW w:w="2453" w:type="pct"/>
        </w:tcPr>
        <w:p w:rsidR="00EC379B" w:rsidRDefault="00007867" w:rsidP="006D504F">
          <w:pPr>
            <w:pStyle w:val="Footer"/>
            <w:rPr>
              <w:rStyle w:val="PageNumber"/>
            </w:rPr>
          </w:pPr>
        </w:p>
        <w:p w:rsidR="00EC379B" w:rsidRDefault="00007867" w:rsidP="009C1E9A">
          <w:pPr>
            <w:pStyle w:val="Footer"/>
            <w:tabs>
              <w:tab w:val="clear" w:pos="8640"/>
              <w:tab w:val="right" w:pos="9360"/>
            </w:tabs>
            <w:jc w:val="right"/>
          </w:pPr>
        </w:p>
      </w:tc>
    </w:tr>
    <w:tr w:rsidR="00C52F35" w:rsidTr="009C1E9A">
      <w:trPr>
        <w:cantSplit/>
        <w:trHeight w:val="323"/>
      </w:trPr>
      <w:tc>
        <w:tcPr>
          <w:tcW w:w="0" w:type="pct"/>
          <w:gridSpan w:val="3"/>
        </w:tcPr>
        <w:p w:rsidR="00EC379B" w:rsidRDefault="000078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7867" w:rsidP="009C1E9A">
          <w:pPr>
            <w:pStyle w:val="Footer"/>
            <w:tabs>
              <w:tab w:val="clear" w:pos="8640"/>
              <w:tab w:val="right" w:pos="9360"/>
            </w:tabs>
            <w:jc w:val="center"/>
          </w:pPr>
        </w:p>
      </w:tc>
    </w:tr>
  </w:tbl>
  <w:p w:rsidR="00EC379B" w:rsidRPr="00FF6F72" w:rsidRDefault="0000786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7867">
      <w:r>
        <w:separator/>
      </w:r>
    </w:p>
  </w:footnote>
  <w:footnote w:type="continuationSeparator" w:id="0">
    <w:p w:rsidR="00000000" w:rsidRDefault="0000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35"/>
    <w:rsid w:val="00007867"/>
    <w:rsid w:val="00C5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6EAB"/>
    <w:rPr>
      <w:sz w:val="16"/>
      <w:szCs w:val="16"/>
    </w:rPr>
  </w:style>
  <w:style w:type="paragraph" w:styleId="CommentText">
    <w:name w:val="annotation text"/>
    <w:basedOn w:val="Normal"/>
    <w:link w:val="CommentTextChar"/>
    <w:rsid w:val="00A06EAB"/>
    <w:rPr>
      <w:sz w:val="20"/>
      <w:szCs w:val="20"/>
    </w:rPr>
  </w:style>
  <w:style w:type="character" w:customStyle="1" w:styleId="CommentTextChar">
    <w:name w:val="Comment Text Char"/>
    <w:basedOn w:val="DefaultParagraphFont"/>
    <w:link w:val="CommentText"/>
    <w:rsid w:val="00A06EAB"/>
  </w:style>
  <w:style w:type="paragraph" w:styleId="CommentSubject">
    <w:name w:val="annotation subject"/>
    <w:basedOn w:val="CommentText"/>
    <w:next w:val="CommentText"/>
    <w:link w:val="CommentSubjectChar"/>
    <w:rsid w:val="00A06EAB"/>
    <w:rPr>
      <w:b/>
      <w:bCs/>
    </w:rPr>
  </w:style>
  <w:style w:type="character" w:customStyle="1" w:styleId="CommentSubjectChar">
    <w:name w:val="Comment Subject Char"/>
    <w:basedOn w:val="CommentTextChar"/>
    <w:link w:val="CommentSubject"/>
    <w:rsid w:val="00A06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6EAB"/>
    <w:rPr>
      <w:sz w:val="16"/>
      <w:szCs w:val="16"/>
    </w:rPr>
  </w:style>
  <w:style w:type="paragraph" w:styleId="CommentText">
    <w:name w:val="annotation text"/>
    <w:basedOn w:val="Normal"/>
    <w:link w:val="CommentTextChar"/>
    <w:rsid w:val="00A06EAB"/>
    <w:rPr>
      <w:sz w:val="20"/>
      <w:szCs w:val="20"/>
    </w:rPr>
  </w:style>
  <w:style w:type="character" w:customStyle="1" w:styleId="CommentTextChar">
    <w:name w:val="Comment Text Char"/>
    <w:basedOn w:val="DefaultParagraphFont"/>
    <w:link w:val="CommentText"/>
    <w:rsid w:val="00A06EAB"/>
  </w:style>
  <w:style w:type="paragraph" w:styleId="CommentSubject">
    <w:name w:val="annotation subject"/>
    <w:basedOn w:val="CommentText"/>
    <w:next w:val="CommentText"/>
    <w:link w:val="CommentSubjectChar"/>
    <w:rsid w:val="00A06EAB"/>
    <w:rPr>
      <w:b/>
      <w:bCs/>
    </w:rPr>
  </w:style>
  <w:style w:type="character" w:customStyle="1" w:styleId="CommentSubjectChar">
    <w:name w:val="Comment Subject Char"/>
    <w:basedOn w:val="CommentTextChar"/>
    <w:link w:val="CommentSubject"/>
    <w:rsid w:val="00A0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3965</Characters>
  <Application>Microsoft Office Word</Application>
  <DocSecurity>4</DocSecurity>
  <Lines>78</Lines>
  <Paragraphs>16</Paragraphs>
  <ScaleCrop>false</ScaleCrop>
  <HeadingPairs>
    <vt:vector size="2" baseType="variant">
      <vt:variant>
        <vt:lpstr>Title</vt:lpstr>
      </vt:variant>
      <vt:variant>
        <vt:i4>1</vt:i4>
      </vt:variant>
    </vt:vector>
  </HeadingPairs>
  <TitlesOfParts>
    <vt:vector size="1" baseType="lpstr">
      <vt:lpstr>BA - HB03991 (Committee Report (Unamended))</vt:lpstr>
    </vt:vector>
  </TitlesOfParts>
  <Company>State of Texas</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22611</dc:subject>
  <dc:creator>State of Texas</dc:creator>
  <dc:description>HB 3991 by Larson-(H)Natural Resources</dc:description>
  <cp:lastModifiedBy>Brianna Weis</cp:lastModifiedBy>
  <cp:revision>2</cp:revision>
  <cp:lastPrinted>2017-04-09T21:32:00Z</cp:lastPrinted>
  <dcterms:created xsi:type="dcterms:W3CDTF">2017-04-21T23:29:00Z</dcterms:created>
  <dcterms:modified xsi:type="dcterms:W3CDTF">2017-04-21T23:29:00Z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17.98.280</vt:lpwstr>
  </property>
</Properties>
</file>