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69EA" w:rsidTr="00345119">
        <w:tc>
          <w:tcPr>
            <w:tcW w:w="9576" w:type="dxa"/>
            <w:noWrap/>
          </w:tcPr>
          <w:p w:rsidR="008423E4" w:rsidRPr="0022177D" w:rsidRDefault="00FA57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A5771" w:rsidP="008423E4">
      <w:pPr>
        <w:jc w:val="center"/>
      </w:pPr>
    </w:p>
    <w:p w:rsidR="008423E4" w:rsidRPr="00B31F0E" w:rsidRDefault="00FA5771" w:rsidP="008423E4"/>
    <w:p w:rsidR="008423E4" w:rsidRPr="00742794" w:rsidRDefault="00FA57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69EA" w:rsidTr="00345119">
        <w:tc>
          <w:tcPr>
            <w:tcW w:w="9576" w:type="dxa"/>
          </w:tcPr>
          <w:p w:rsidR="008423E4" w:rsidRPr="00861995" w:rsidRDefault="00FA5771" w:rsidP="00345119">
            <w:pPr>
              <w:jc w:val="right"/>
            </w:pPr>
            <w:r>
              <w:t>C.S.H.B. 4002</w:t>
            </w:r>
          </w:p>
        </w:tc>
      </w:tr>
      <w:tr w:rsidR="000769EA" w:rsidTr="00345119">
        <w:tc>
          <w:tcPr>
            <w:tcW w:w="9576" w:type="dxa"/>
          </w:tcPr>
          <w:p w:rsidR="008423E4" w:rsidRPr="00861995" w:rsidRDefault="00FA5771" w:rsidP="00296FF6">
            <w:pPr>
              <w:jc w:val="right"/>
            </w:pPr>
            <w:r>
              <w:t xml:space="preserve">By: </w:t>
            </w:r>
            <w:r>
              <w:t>Bonnen, Dennis</w:t>
            </w:r>
          </w:p>
        </w:tc>
      </w:tr>
      <w:tr w:rsidR="000769EA" w:rsidTr="00345119">
        <w:tc>
          <w:tcPr>
            <w:tcW w:w="9576" w:type="dxa"/>
          </w:tcPr>
          <w:p w:rsidR="008423E4" w:rsidRPr="00861995" w:rsidRDefault="00FA5771" w:rsidP="00345119">
            <w:pPr>
              <w:jc w:val="right"/>
            </w:pPr>
            <w:r>
              <w:t>Ways &amp; Means</w:t>
            </w:r>
          </w:p>
        </w:tc>
      </w:tr>
      <w:tr w:rsidR="000769EA" w:rsidTr="00345119">
        <w:tc>
          <w:tcPr>
            <w:tcW w:w="9576" w:type="dxa"/>
          </w:tcPr>
          <w:p w:rsidR="008423E4" w:rsidRDefault="00FA577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A5771" w:rsidP="008423E4">
      <w:pPr>
        <w:tabs>
          <w:tab w:val="right" w:pos="9360"/>
        </w:tabs>
      </w:pPr>
    </w:p>
    <w:p w:rsidR="008423E4" w:rsidRDefault="00FA5771" w:rsidP="008423E4"/>
    <w:p w:rsidR="008423E4" w:rsidRDefault="00FA57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0769EA" w:rsidTr="00296FF6">
        <w:tc>
          <w:tcPr>
            <w:tcW w:w="9582" w:type="dxa"/>
          </w:tcPr>
          <w:p w:rsidR="008423E4" w:rsidRPr="00A8133F" w:rsidRDefault="00FA5771" w:rsidP="00AF1D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A5771" w:rsidP="00AF1DD5"/>
          <w:p w:rsidR="008423E4" w:rsidRDefault="00FA5771" w:rsidP="00AF1DD5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that </w:t>
            </w:r>
            <w:r>
              <w:t xml:space="preserve">the language used to calculate </w:t>
            </w:r>
            <w:r>
              <w:t xml:space="preserve">the franchise tax </w:t>
            </w:r>
            <w:r>
              <w:t>is</w:t>
            </w:r>
            <w:r>
              <w:t xml:space="preserve"> unnecessarily vague.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4002 </w:t>
            </w:r>
            <w:r>
              <w:t xml:space="preserve">seeks to </w:t>
            </w:r>
            <w:r>
              <w:t xml:space="preserve">eliminate </w:t>
            </w:r>
            <w:r>
              <w:t xml:space="preserve">this lack of clarity </w:t>
            </w:r>
            <w:r>
              <w:t xml:space="preserve">by </w:t>
            </w:r>
            <w:r>
              <w:t xml:space="preserve">changing the definition of </w:t>
            </w:r>
            <w:r>
              <w:t>"</w:t>
            </w:r>
            <w:r>
              <w:t>production</w:t>
            </w:r>
            <w:r>
              <w:t>"</w:t>
            </w:r>
            <w:r>
              <w:t xml:space="preserve"> as that term is</w:t>
            </w:r>
            <w:r>
              <w:t xml:space="preserve"> </w:t>
            </w:r>
            <w:r>
              <w:t xml:space="preserve">used </w:t>
            </w:r>
            <w:r>
              <w:t xml:space="preserve">in </w:t>
            </w:r>
            <w:r>
              <w:t xml:space="preserve">determining </w:t>
            </w:r>
            <w:r>
              <w:t>the cost of goods sold for franchise tax</w:t>
            </w:r>
            <w:r>
              <w:t xml:space="preserve"> purposes</w:t>
            </w:r>
            <w:r>
              <w:t>.</w:t>
            </w:r>
          </w:p>
          <w:p w:rsidR="008423E4" w:rsidRPr="00E26B13" w:rsidRDefault="00FA5771" w:rsidP="00AF1DD5">
            <w:pPr>
              <w:rPr>
                <w:b/>
              </w:rPr>
            </w:pPr>
          </w:p>
        </w:tc>
      </w:tr>
      <w:tr w:rsidR="000769EA" w:rsidTr="00296FF6">
        <w:tc>
          <w:tcPr>
            <w:tcW w:w="9582" w:type="dxa"/>
          </w:tcPr>
          <w:p w:rsidR="0017725B" w:rsidRDefault="00FA5771" w:rsidP="00AF1D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A5771" w:rsidP="00AF1DD5">
            <w:pPr>
              <w:rPr>
                <w:b/>
                <w:u w:val="single"/>
              </w:rPr>
            </w:pPr>
          </w:p>
          <w:p w:rsidR="0023574E" w:rsidRPr="0023574E" w:rsidRDefault="00FA5771" w:rsidP="00AF1DD5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A5771" w:rsidP="00AF1DD5">
            <w:pPr>
              <w:rPr>
                <w:b/>
                <w:u w:val="single"/>
              </w:rPr>
            </w:pPr>
          </w:p>
        </w:tc>
      </w:tr>
      <w:tr w:rsidR="000769EA" w:rsidTr="00296FF6">
        <w:tc>
          <w:tcPr>
            <w:tcW w:w="9582" w:type="dxa"/>
          </w:tcPr>
          <w:p w:rsidR="008423E4" w:rsidRPr="00A8133F" w:rsidRDefault="00FA5771" w:rsidP="00AF1D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A5771" w:rsidP="00AF1DD5"/>
          <w:p w:rsidR="0023574E" w:rsidRDefault="00FA5771" w:rsidP="00AF1D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FA5771" w:rsidP="00AF1DD5">
            <w:pPr>
              <w:rPr>
                <w:b/>
              </w:rPr>
            </w:pPr>
          </w:p>
        </w:tc>
      </w:tr>
      <w:tr w:rsidR="000769EA" w:rsidTr="00296FF6">
        <w:tc>
          <w:tcPr>
            <w:tcW w:w="9582" w:type="dxa"/>
          </w:tcPr>
          <w:p w:rsidR="008423E4" w:rsidRPr="00A8133F" w:rsidRDefault="00FA5771" w:rsidP="00AF1D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A5771" w:rsidP="00AF1DD5"/>
          <w:p w:rsidR="00EA2B4D" w:rsidRDefault="00FA5771" w:rsidP="00AF1D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4002 amends the Tax Code to remove </w:t>
            </w:r>
            <w:r>
              <w:t xml:space="preserve">installation </w:t>
            </w:r>
            <w:r>
              <w:t xml:space="preserve">from </w:t>
            </w:r>
            <w:r>
              <w:t xml:space="preserve">the </w:t>
            </w:r>
            <w:r>
              <w:t>activities</w:t>
            </w:r>
            <w:r>
              <w:t xml:space="preserve"> that constitute</w:t>
            </w:r>
            <w:r>
              <w:t xml:space="preserve"> production</w:t>
            </w:r>
            <w:r>
              <w:t xml:space="preserve"> for purposes of determin</w:t>
            </w:r>
            <w:r>
              <w:t>ing</w:t>
            </w:r>
            <w:r>
              <w:t xml:space="preserve"> cost of goods sold</w:t>
            </w:r>
            <w:r>
              <w:t xml:space="preserve"> in relation to a taxable entity's margin for the franchise tax. </w:t>
            </w:r>
            <w:r>
              <w:t xml:space="preserve">The bill </w:t>
            </w:r>
            <w:r>
              <w:t xml:space="preserve">specifies that its </w:t>
            </w:r>
            <w:r>
              <w:t>provisions are</w:t>
            </w:r>
            <w:r w:rsidRPr="00EA2B4D">
              <w:t xml:space="preserve"> a clarification of existing law and</w:t>
            </w:r>
            <w:r>
              <w:t xml:space="preserve"> do</w:t>
            </w:r>
            <w:r w:rsidRPr="00EA2B4D">
              <w:t xml:space="preserve"> not imply that </w:t>
            </w:r>
            <w:r>
              <w:t xml:space="preserve">certain </w:t>
            </w:r>
            <w:r w:rsidRPr="00EA2B4D">
              <w:t>existing law may be construed as incons</w:t>
            </w:r>
            <w:r w:rsidRPr="00EA2B4D">
              <w:t xml:space="preserve">istent with the </w:t>
            </w:r>
            <w:r>
              <w:t xml:space="preserve">law as amended by the </w:t>
            </w:r>
            <w:r>
              <w:t>bill</w:t>
            </w:r>
            <w:r>
              <w:t>.</w:t>
            </w:r>
          </w:p>
          <w:p w:rsidR="008423E4" w:rsidRPr="00835628" w:rsidRDefault="00FA5771" w:rsidP="00AF1DD5">
            <w:pPr>
              <w:rPr>
                <w:b/>
              </w:rPr>
            </w:pPr>
          </w:p>
        </w:tc>
      </w:tr>
      <w:tr w:rsidR="000769EA" w:rsidTr="00296FF6">
        <w:tc>
          <w:tcPr>
            <w:tcW w:w="9582" w:type="dxa"/>
          </w:tcPr>
          <w:p w:rsidR="008423E4" w:rsidRPr="00A8133F" w:rsidRDefault="00FA5771" w:rsidP="00AF1D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A5771" w:rsidP="00AF1DD5"/>
          <w:p w:rsidR="008423E4" w:rsidRDefault="00FA5771" w:rsidP="00AF1D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A5771" w:rsidP="00AF1DD5">
            <w:pPr>
              <w:rPr>
                <w:b/>
              </w:rPr>
            </w:pPr>
          </w:p>
        </w:tc>
      </w:tr>
      <w:tr w:rsidR="000769EA" w:rsidTr="00296FF6">
        <w:tc>
          <w:tcPr>
            <w:tcW w:w="9582" w:type="dxa"/>
          </w:tcPr>
          <w:p w:rsidR="00296FF6" w:rsidRDefault="00FA5771" w:rsidP="00AF1DD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F5260" w:rsidRDefault="00FA5771" w:rsidP="00AF1DD5">
            <w:pPr>
              <w:jc w:val="both"/>
            </w:pPr>
          </w:p>
          <w:p w:rsidR="004F5260" w:rsidRDefault="00FA5771" w:rsidP="00AF1DD5">
            <w:pPr>
              <w:jc w:val="both"/>
            </w:pPr>
            <w:r>
              <w:t>While C.S.H.B. 4002 may differ from the original in minor or nonsubstantive ways, the following comparison is organized and formatted</w:t>
            </w:r>
            <w:r>
              <w:t xml:space="preserve"> in a manner that indicates the substantial differences between the introduced and committee substitute versions of the bill.</w:t>
            </w:r>
          </w:p>
          <w:p w:rsidR="004F5260" w:rsidRPr="004F5260" w:rsidRDefault="00FA5771" w:rsidP="00AF1DD5">
            <w:pPr>
              <w:jc w:val="both"/>
            </w:pPr>
          </w:p>
        </w:tc>
      </w:tr>
      <w:tr w:rsidR="000769EA" w:rsidTr="00296FF6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0769EA" w:rsidTr="009A6F40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296FF6" w:rsidRDefault="00FA5771" w:rsidP="00AF1DD5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296FF6" w:rsidRDefault="00FA5771" w:rsidP="00AF1DD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0769EA" w:rsidTr="009A6F40">
              <w:tc>
                <w:tcPr>
                  <w:tcW w:w="4680" w:type="dxa"/>
                  <w:tcMar>
                    <w:right w:w="360" w:type="dxa"/>
                  </w:tcMar>
                </w:tcPr>
                <w:p w:rsidR="00296FF6" w:rsidRDefault="00FA5771" w:rsidP="00AF1DD5">
                  <w:pPr>
                    <w:jc w:val="both"/>
                  </w:pPr>
                  <w:r>
                    <w:t>SECTION 1.  Section 171.1012(a)</w:t>
                  </w:r>
                  <w:r>
                    <w:t>(2), Tax Code, is amended.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96FF6" w:rsidRDefault="00FA5771" w:rsidP="00AF1DD5">
                  <w:pPr>
                    <w:jc w:val="both"/>
                  </w:pPr>
                  <w:r>
                    <w:t xml:space="preserve">SECTION 1. Same as introduced </w:t>
                  </w:r>
                  <w:r>
                    <w:t>version.</w:t>
                  </w:r>
                </w:p>
                <w:p w:rsidR="00296FF6" w:rsidRDefault="00FA5771" w:rsidP="00AF1DD5">
                  <w:pPr>
                    <w:jc w:val="both"/>
                  </w:pPr>
                </w:p>
              </w:tc>
            </w:tr>
            <w:tr w:rsidR="000769EA" w:rsidTr="009A6F40">
              <w:tc>
                <w:tcPr>
                  <w:tcW w:w="4680" w:type="dxa"/>
                  <w:tcMar>
                    <w:right w:w="360" w:type="dxa"/>
                  </w:tcMar>
                </w:tcPr>
                <w:p w:rsidR="00296FF6" w:rsidRDefault="00FA5771" w:rsidP="00AF1DD5">
                  <w:pPr>
                    <w:jc w:val="both"/>
                  </w:pPr>
                  <w:r>
                    <w:t xml:space="preserve">SECTION 2.  </w:t>
                  </w:r>
                  <w:r w:rsidRPr="004F5260">
                    <w:t>This Act</w:t>
                  </w:r>
                  <w:r>
                    <w:t xml:space="preserve"> is a clarification of existing law and does not imply that </w:t>
                  </w:r>
                  <w:r w:rsidRPr="004F5260">
                    <w:rPr>
                      <w:highlight w:val="lightGray"/>
                    </w:rPr>
                    <w:t>existing law</w:t>
                  </w:r>
                  <w:r>
                    <w:t xml:space="preserve"> may be construed as inconsistent with </w:t>
                  </w:r>
                  <w:r w:rsidRPr="004F5260">
                    <w:rPr>
                      <w:highlight w:val="lightGray"/>
                    </w:rPr>
                    <w:lastRenderedPageBreak/>
                    <w:t>the law</w:t>
                  </w:r>
                  <w:r>
                    <w:t xml:space="preserve"> as amended by this Act.</w:t>
                  </w:r>
                </w:p>
                <w:p w:rsidR="00296FF6" w:rsidRDefault="00FA5771" w:rsidP="00AF1DD5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96FF6" w:rsidRDefault="00FA5771" w:rsidP="00AF1DD5">
                  <w:pPr>
                    <w:jc w:val="both"/>
                  </w:pPr>
                  <w:r>
                    <w:lastRenderedPageBreak/>
                    <w:t xml:space="preserve">SECTION 2.  </w:t>
                  </w:r>
                  <w:r w:rsidRPr="004F5260">
                    <w:rPr>
                      <w:highlight w:val="lightGray"/>
                    </w:rPr>
                    <w:t>The amendment made by</w:t>
                  </w:r>
                  <w:r>
                    <w:t xml:space="preserve"> this Act </w:t>
                  </w:r>
                  <w:r w:rsidRPr="004F5260">
                    <w:rPr>
                      <w:highlight w:val="lightGray"/>
                    </w:rPr>
                    <w:t>to Section 171.1012, Tax Code,</w:t>
                  </w:r>
                  <w:r>
                    <w:t xml:space="preserve"> is a cl</w:t>
                  </w:r>
                  <w:r>
                    <w:t xml:space="preserve">arification of existing law and does not </w:t>
                  </w:r>
                  <w:r>
                    <w:lastRenderedPageBreak/>
                    <w:t xml:space="preserve">imply that </w:t>
                  </w:r>
                  <w:r w:rsidRPr="004F5260">
                    <w:rPr>
                      <w:highlight w:val="lightGray"/>
                    </w:rPr>
                    <w:t>Section 171.1012, Tax Code, before the amendment made by this Act</w:t>
                  </w:r>
                  <w:r>
                    <w:t xml:space="preserve"> may be construed as inconsistent with </w:t>
                  </w:r>
                  <w:r w:rsidRPr="004F5260">
                    <w:rPr>
                      <w:highlight w:val="lightGray"/>
                    </w:rPr>
                    <w:t>Section 171.1012, Tax Code,</w:t>
                  </w:r>
                  <w:r>
                    <w:t xml:space="preserve"> as amended by this Act.</w:t>
                  </w:r>
                </w:p>
              </w:tc>
            </w:tr>
            <w:tr w:rsidR="000769EA" w:rsidTr="009A6F40">
              <w:tc>
                <w:tcPr>
                  <w:tcW w:w="4680" w:type="dxa"/>
                  <w:tcMar>
                    <w:right w:w="360" w:type="dxa"/>
                  </w:tcMar>
                </w:tcPr>
                <w:p w:rsidR="00296FF6" w:rsidRDefault="00FA5771" w:rsidP="00AF1DD5">
                  <w:pPr>
                    <w:jc w:val="both"/>
                  </w:pPr>
                  <w:r>
                    <w:lastRenderedPageBreak/>
                    <w:t xml:space="preserve">SECTION 3.  This Act takes effect September 1, </w:t>
                  </w:r>
                  <w:r>
                    <w:t>2017.</w:t>
                  </w:r>
                </w:p>
                <w:p w:rsidR="00296FF6" w:rsidRDefault="00FA5771" w:rsidP="00AF1DD5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296FF6" w:rsidRDefault="00FA5771" w:rsidP="00AF1DD5">
                  <w:pPr>
                    <w:jc w:val="both"/>
                  </w:pPr>
                  <w:r>
                    <w:t>SECTION 3. Same as introduced version.</w:t>
                  </w:r>
                </w:p>
                <w:p w:rsidR="00296FF6" w:rsidRDefault="00FA5771" w:rsidP="00AF1DD5">
                  <w:pPr>
                    <w:jc w:val="both"/>
                  </w:pPr>
                </w:p>
                <w:p w:rsidR="00296FF6" w:rsidRDefault="00FA5771" w:rsidP="00AF1DD5">
                  <w:pPr>
                    <w:jc w:val="both"/>
                  </w:pPr>
                </w:p>
              </w:tc>
            </w:tr>
          </w:tbl>
          <w:p w:rsidR="00296FF6" w:rsidRDefault="00FA5771" w:rsidP="00AF1DD5"/>
          <w:p w:rsidR="00296FF6" w:rsidRPr="009C1E9A" w:rsidRDefault="00FA5771" w:rsidP="00AF1DD5">
            <w:pPr>
              <w:rPr>
                <w:b/>
                <w:u w:val="single"/>
              </w:rPr>
            </w:pPr>
          </w:p>
        </w:tc>
      </w:tr>
    </w:tbl>
    <w:p w:rsidR="008423E4" w:rsidRPr="00BE0E75" w:rsidRDefault="00FA57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A577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5771">
      <w:r>
        <w:separator/>
      </w:r>
    </w:p>
  </w:endnote>
  <w:endnote w:type="continuationSeparator" w:id="0">
    <w:p w:rsidR="00000000" w:rsidRDefault="00F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69EA" w:rsidTr="009C1E9A">
      <w:trPr>
        <w:cantSplit/>
      </w:trPr>
      <w:tc>
        <w:tcPr>
          <w:tcW w:w="0" w:type="pct"/>
        </w:tcPr>
        <w:p w:rsidR="00137D90" w:rsidRDefault="00FA57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A57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A57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A57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A57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69EA" w:rsidTr="009C1E9A">
      <w:trPr>
        <w:cantSplit/>
      </w:trPr>
      <w:tc>
        <w:tcPr>
          <w:tcW w:w="0" w:type="pct"/>
        </w:tcPr>
        <w:p w:rsidR="00EC379B" w:rsidRDefault="00FA57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A57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25495</w:t>
          </w:r>
        </w:p>
      </w:tc>
      <w:tc>
        <w:tcPr>
          <w:tcW w:w="2453" w:type="pct"/>
        </w:tcPr>
        <w:p w:rsidR="00EC379B" w:rsidRDefault="00FA57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17.112.263</w:t>
          </w:r>
          <w:r>
            <w:fldChar w:fldCharType="end"/>
          </w:r>
        </w:p>
      </w:tc>
    </w:tr>
    <w:tr w:rsidR="000769EA" w:rsidTr="009C1E9A">
      <w:trPr>
        <w:cantSplit/>
      </w:trPr>
      <w:tc>
        <w:tcPr>
          <w:tcW w:w="0" w:type="pct"/>
        </w:tcPr>
        <w:p w:rsidR="00EC379B" w:rsidRDefault="00FA57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A57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22806</w:t>
          </w:r>
        </w:p>
      </w:tc>
      <w:tc>
        <w:tcPr>
          <w:tcW w:w="2453" w:type="pct"/>
        </w:tcPr>
        <w:p w:rsidR="00EC379B" w:rsidRDefault="00FA5771" w:rsidP="006D504F">
          <w:pPr>
            <w:pStyle w:val="Footer"/>
            <w:rPr>
              <w:rStyle w:val="PageNumber"/>
            </w:rPr>
          </w:pPr>
        </w:p>
        <w:p w:rsidR="00EC379B" w:rsidRDefault="00FA57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69E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A57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A57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A57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5771">
      <w:r>
        <w:separator/>
      </w:r>
    </w:p>
  </w:footnote>
  <w:footnote w:type="continuationSeparator" w:id="0">
    <w:p w:rsidR="00000000" w:rsidRDefault="00FA5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EA"/>
    <w:rsid w:val="000769EA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A2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2B4D"/>
  </w:style>
  <w:style w:type="paragraph" w:styleId="CommentSubject">
    <w:name w:val="annotation subject"/>
    <w:basedOn w:val="CommentText"/>
    <w:next w:val="CommentText"/>
    <w:link w:val="CommentSubjectChar"/>
    <w:rsid w:val="00EA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2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A2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2B4D"/>
  </w:style>
  <w:style w:type="paragraph" w:styleId="CommentSubject">
    <w:name w:val="annotation subject"/>
    <w:basedOn w:val="CommentText"/>
    <w:next w:val="CommentText"/>
    <w:link w:val="CommentSubjectChar"/>
    <w:rsid w:val="00EA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2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1939</Characters>
  <Application>Microsoft Office Word</Application>
  <DocSecurity>4</DocSecurity>
  <Lines>75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HB04002 (Committee Report (Substituted))</vt:lpstr>
    </vt:vector>
  </TitlesOfParts>
  <Company>State of Texas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25495</dc:subject>
  <dc:creator>State of Texas</dc:creator>
  <dc:description>HB 4002 by Bonnen, Dennis-(H)Ways &amp; Means (Substitute Document Number: 85R 22806)</dc:description>
  <cp:lastModifiedBy>Alexander McMillan</cp:lastModifiedBy>
  <cp:revision>2</cp:revision>
  <cp:lastPrinted>2017-04-23T20:50:00Z</cp:lastPrinted>
  <dcterms:created xsi:type="dcterms:W3CDTF">2017-04-25T22:31:00Z</dcterms:created>
  <dcterms:modified xsi:type="dcterms:W3CDTF">2017-04-25T22:31:00Z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17.112.263</vt:lpwstr>
  </property>
</Properties>
</file>