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6A5C" w:rsidTr="00345119">
        <w:tc>
          <w:tcPr>
            <w:tcW w:w="9576" w:type="dxa"/>
            <w:noWrap/>
          </w:tcPr>
          <w:p w:rsidR="008423E4" w:rsidRPr="006C62AE" w:rsidRDefault="00BF205C" w:rsidP="00345119">
            <w:pPr>
              <w:pStyle w:val="Heading1"/>
            </w:pPr>
            <w:bookmarkStart w:id="0" w:name="_GoBack"/>
            <w:bookmarkEnd w:id="0"/>
            <w:r w:rsidRPr="006C62AE">
              <w:t>BILL ANALYSIS</w:t>
            </w:r>
          </w:p>
        </w:tc>
      </w:tr>
    </w:tbl>
    <w:p w:rsidR="008423E4" w:rsidRPr="006C62AE" w:rsidRDefault="00BF205C" w:rsidP="008423E4">
      <w:pPr>
        <w:jc w:val="center"/>
      </w:pPr>
    </w:p>
    <w:p w:rsidR="008423E4" w:rsidRPr="006C62AE" w:rsidRDefault="00BF205C" w:rsidP="008423E4"/>
    <w:p w:rsidR="008423E4" w:rsidRPr="006C62AE" w:rsidRDefault="00BF20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6A5C" w:rsidTr="00345119">
        <w:tc>
          <w:tcPr>
            <w:tcW w:w="9576" w:type="dxa"/>
          </w:tcPr>
          <w:p w:rsidR="008423E4" w:rsidRPr="006C62AE" w:rsidRDefault="00BF205C" w:rsidP="00345119">
            <w:pPr>
              <w:jc w:val="right"/>
            </w:pPr>
            <w:r>
              <w:t>C.S.H.B. 4203</w:t>
            </w:r>
          </w:p>
        </w:tc>
      </w:tr>
      <w:tr w:rsidR="00DA6A5C" w:rsidTr="00345119">
        <w:tc>
          <w:tcPr>
            <w:tcW w:w="9576" w:type="dxa"/>
          </w:tcPr>
          <w:p w:rsidR="008423E4" w:rsidRPr="006C62AE" w:rsidRDefault="00BF205C" w:rsidP="00371DFD">
            <w:pPr>
              <w:jc w:val="right"/>
            </w:pPr>
            <w:r w:rsidRPr="006C62AE">
              <w:t xml:space="preserve">By: </w:t>
            </w:r>
            <w:r>
              <w:t>Swanson</w:t>
            </w:r>
          </w:p>
        </w:tc>
      </w:tr>
      <w:tr w:rsidR="00DA6A5C" w:rsidTr="00345119">
        <w:tc>
          <w:tcPr>
            <w:tcW w:w="9576" w:type="dxa"/>
          </w:tcPr>
          <w:p w:rsidR="008423E4" w:rsidRPr="006C62AE" w:rsidRDefault="00BF205C" w:rsidP="00345119">
            <w:pPr>
              <w:jc w:val="right"/>
            </w:pPr>
            <w:r>
              <w:t>Pensions</w:t>
            </w:r>
          </w:p>
        </w:tc>
      </w:tr>
      <w:tr w:rsidR="00DA6A5C" w:rsidTr="00345119">
        <w:tc>
          <w:tcPr>
            <w:tcW w:w="9576" w:type="dxa"/>
          </w:tcPr>
          <w:p w:rsidR="008423E4" w:rsidRPr="006C62AE" w:rsidRDefault="00BF205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Pr="006C62AE" w:rsidRDefault="00BF205C" w:rsidP="008423E4">
      <w:pPr>
        <w:tabs>
          <w:tab w:val="right" w:pos="9360"/>
        </w:tabs>
      </w:pPr>
    </w:p>
    <w:p w:rsidR="008423E4" w:rsidRPr="006C62AE" w:rsidRDefault="00BF205C" w:rsidP="008423E4"/>
    <w:p w:rsidR="008423E4" w:rsidRPr="006C62AE" w:rsidRDefault="00BF20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A6A5C" w:rsidTr="00371DFD">
        <w:tc>
          <w:tcPr>
            <w:tcW w:w="9582" w:type="dxa"/>
          </w:tcPr>
          <w:p w:rsidR="008423E4" w:rsidRPr="006C62AE" w:rsidRDefault="00BF205C" w:rsidP="006C50DB">
            <w:pPr>
              <w:rPr>
                <w:b/>
              </w:rPr>
            </w:pPr>
            <w:r w:rsidRPr="006C62AE">
              <w:rPr>
                <w:b/>
                <w:u w:val="single"/>
              </w:rPr>
              <w:t>BACKGROUND AND PURPOSE</w:t>
            </w:r>
            <w:r w:rsidRPr="006C62AE">
              <w:rPr>
                <w:b/>
              </w:rPr>
              <w:t xml:space="preserve"> </w:t>
            </w:r>
          </w:p>
          <w:p w:rsidR="008423E4" w:rsidRPr="006C62AE" w:rsidRDefault="00BF205C" w:rsidP="006C50DB"/>
          <w:p w:rsidR="008423E4" w:rsidRPr="006C62AE" w:rsidRDefault="00BF205C" w:rsidP="006C50DB">
            <w:pPr>
              <w:pStyle w:val="Header"/>
              <w:jc w:val="both"/>
            </w:pPr>
            <w:r w:rsidRPr="006C62AE">
              <w:t>Concerns have been raised regarding the manner</w:t>
            </w:r>
            <w:r w:rsidRPr="006C62AE">
              <w:t xml:space="preserve"> in which </w:t>
            </w:r>
            <w:r w:rsidRPr="006C62AE">
              <w:t>the</w:t>
            </w:r>
            <w:r w:rsidRPr="006C62AE">
              <w:t xml:space="preserve"> pension </w:t>
            </w:r>
            <w:r w:rsidRPr="006C62AE">
              <w:t xml:space="preserve">of a member of the Texas County and District Retirement System </w:t>
            </w:r>
            <w:r w:rsidRPr="006C62AE">
              <w:t xml:space="preserve">is split in a divorce between the </w:t>
            </w:r>
            <w:r w:rsidRPr="006C62AE">
              <w:t xml:space="preserve">member's </w:t>
            </w:r>
            <w:r w:rsidRPr="006C62AE">
              <w:t xml:space="preserve">former spouse and the </w:t>
            </w:r>
            <w:r w:rsidRPr="006C62AE">
              <w:t>member or the member's beneficiary</w:t>
            </w:r>
            <w:r w:rsidRPr="006C62AE">
              <w:t xml:space="preserve">. </w:t>
            </w:r>
            <w:r w:rsidRPr="006C62AE">
              <w:t>The parties contend that in certain instances a</w:t>
            </w:r>
            <w:r w:rsidRPr="006C62AE">
              <w:t xml:space="preserve"> surviving spouse </w:t>
            </w:r>
            <w:r w:rsidRPr="006C62AE">
              <w:t xml:space="preserve">may not be awarded any portion of the pension </w:t>
            </w:r>
            <w:r w:rsidRPr="006C62AE">
              <w:t xml:space="preserve">with the full pension </w:t>
            </w:r>
            <w:r w:rsidRPr="006C62AE">
              <w:t xml:space="preserve">being </w:t>
            </w:r>
            <w:r>
              <w:t>divided among</w:t>
            </w:r>
            <w:r w:rsidRPr="006C62AE">
              <w:t xml:space="preserve"> ot</w:t>
            </w:r>
            <w:r w:rsidRPr="006C62AE">
              <w:t xml:space="preserve">her beneficiaries listed on the pension. </w:t>
            </w:r>
            <w:r>
              <w:t>C.S.</w:t>
            </w:r>
            <w:r w:rsidRPr="006C62AE">
              <w:t>H</w:t>
            </w:r>
            <w:r w:rsidRPr="006C62AE">
              <w:t>.</w:t>
            </w:r>
            <w:r w:rsidRPr="006C62AE">
              <w:t>B</w:t>
            </w:r>
            <w:r w:rsidRPr="006C62AE">
              <w:t>.</w:t>
            </w:r>
            <w:r w:rsidRPr="006C62AE">
              <w:t xml:space="preserve"> 4203 </w:t>
            </w:r>
            <w:r w:rsidRPr="006C62AE">
              <w:t>seeks to address this issue</w:t>
            </w:r>
            <w:r w:rsidRPr="006C62AE">
              <w:t xml:space="preserve"> by ensur</w:t>
            </w:r>
            <w:r w:rsidRPr="006C62AE">
              <w:t>ing</w:t>
            </w:r>
            <w:r w:rsidRPr="006C62AE">
              <w:t xml:space="preserve"> that the rights of </w:t>
            </w:r>
            <w:r w:rsidRPr="006C62AE">
              <w:t>an</w:t>
            </w:r>
            <w:r w:rsidRPr="006C62AE">
              <w:t xml:space="preserve"> alternative payee are equal to the rights of the member or the member's other beneficiar</w:t>
            </w:r>
            <w:r w:rsidRPr="006C62AE">
              <w:t>ies</w:t>
            </w:r>
            <w:r w:rsidRPr="006C62AE">
              <w:t>.</w:t>
            </w:r>
          </w:p>
          <w:p w:rsidR="008423E4" w:rsidRPr="006C62AE" w:rsidRDefault="00BF205C" w:rsidP="006C50DB">
            <w:pPr>
              <w:rPr>
                <w:b/>
              </w:rPr>
            </w:pPr>
          </w:p>
        </w:tc>
      </w:tr>
      <w:tr w:rsidR="00DA6A5C" w:rsidTr="00371DFD">
        <w:tc>
          <w:tcPr>
            <w:tcW w:w="9582" w:type="dxa"/>
          </w:tcPr>
          <w:p w:rsidR="0017725B" w:rsidRPr="006C62AE" w:rsidRDefault="00BF205C" w:rsidP="006C50DB">
            <w:pPr>
              <w:rPr>
                <w:b/>
                <w:u w:val="single"/>
              </w:rPr>
            </w:pPr>
            <w:r w:rsidRPr="006C62AE">
              <w:rPr>
                <w:b/>
                <w:u w:val="single"/>
              </w:rPr>
              <w:t>CRIMINAL JUSTICE IMPACT</w:t>
            </w:r>
          </w:p>
          <w:p w:rsidR="0017725B" w:rsidRPr="006C62AE" w:rsidRDefault="00BF205C" w:rsidP="006C50DB">
            <w:pPr>
              <w:rPr>
                <w:b/>
                <w:u w:val="single"/>
              </w:rPr>
            </w:pPr>
          </w:p>
          <w:p w:rsidR="0068709B" w:rsidRPr="006C62AE" w:rsidRDefault="00BF205C" w:rsidP="006C50DB">
            <w:pPr>
              <w:jc w:val="both"/>
            </w:pPr>
            <w:r w:rsidRPr="006C62AE">
              <w:t>It is the committee</w:t>
            </w:r>
            <w:r w:rsidRPr="006C62AE"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6C62AE" w:rsidRDefault="00BF205C" w:rsidP="006C50DB">
            <w:pPr>
              <w:rPr>
                <w:b/>
                <w:u w:val="single"/>
              </w:rPr>
            </w:pPr>
          </w:p>
        </w:tc>
      </w:tr>
      <w:tr w:rsidR="00DA6A5C" w:rsidTr="00371DFD">
        <w:tc>
          <w:tcPr>
            <w:tcW w:w="9582" w:type="dxa"/>
          </w:tcPr>
          <w:p w:rsidR="008423E4" w:rsidRPr="006C62AE" w:rsidRDefault="00BF205C" w:rsidP="006C50DB">
            <w:pPr>
              <w:rPr>
                <w:b/>
              </w:rPr>
            </w:pPr>
            <w:r w:rsidRPr="006C62AE">
              <w:rPr>
                <w:b/>
                <w:u w:val="single"/>
              </w:rPr>
              <w:t>R</w:t>
            </w:r>
            <w:r w:rsidRPr="006C62AE">
              <w:rPr>
                <w:b/>
                <w:u w:val="single"/>
              </w:rPr>
              <w:t>ULEMAKING AUTHORITY</w:t>
            </w:r>
            <w:r w:rsidRPr="006C62AE">
              <w:rPr>
                <w:b/>
              </w:rPr>
              <w:t xml:space="preserve"> </w:t>
            </w:r>
          </w:p>
          <w:p w:rsidR="008423E4" w:rsidRPr="006C62AE" w:rsidRDefault="00BF205C" w:rsidP="006C50DB"/>
          <w:p w:rsidR="0068709B" w:rsidRPr="006C62AE" w:rsidRDefault="00BF205C" w:rsidP="006C5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C62AE">
              <w:t>It is the committee's opinion that this bill does not expressly grant any additional rulemaking authority to a state officer, department, agency, or institution.</w:t>
            </w:r>
          </w:p>
          <w:p w:rsidR="008423E4" w:rsidRPr="006C62AE" w:rsidRDefault="00BF205C" w:rsidP="006C50DB">
            <w:pPr>
              <w:rPr>
                <w:b/>
              </w:rPr>
            </w:pPr>
          </w:p>
        </w:tc>
      </w:tr>
      <w:tr w:rsidR="00DA6A5C" w:rsidTr="00371DFD">
        <w:tc>
          <w:tcPr>
            <w:tcW w:w="9582" w:type="dxa"/>
          </w:tcPr>
          <w:p w:rsidR="008423E4" w:rsidRPr="006C62AE" w:rsidRDefault="00BF205C" w:rsidP="006C50DB">
            <w:pPr>
              <w:rPr>
                <w:b/>
              </w:rPr>
            </w:pPr>
            <w:r w:rsidRPr="006C62AE">
              <w:rPr>
                <w:b/>
                <w:u w:val="single"/>
              </w:rPr>
              <w:t>ANALYSIS</w:t>
            </w:r>
            <w:r w:rsidRPr="006C62AE">
              <w:rPr>
                <w:b/>
              </w:rPr>
              <w:t xml:space="preserve"> </w:t>
            </w:r>
          </w:p>
          <w:p w:rsidR="008423E4" w:rsidRPr="006C62AE" w:rsidRDefault="00BF205C" w:rsidP="006C50DB"/>
          <w:p w:rsidR="008423E4" w:rsidRPr="006C62AE" w:rsidRDefault="00BF205C" w:rsidP="006C5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6C62AE">
              <w:t xml:space="preserve">H.B. 4203 amends the Government Code to replace the requirement </w:t>
            </w:r>
            <w:r w:rsidRPr="006C62AE">
              <w:t xml:space="preserve">for </w:t>
            </w:r>
            <w:r w:rsidRPr="006C62AE">
              <w:t>the board of trustees of the Texas County and District Retirement System</w:t>
            </w:r>
            <w:r w:rsidRPr="006C62AE">
              <w:t>, following a division of benefits on divorce of a member</w:t>
            </w:r>
            <w:r w:rsidRPr="006C62AE">
              <w:t xml:space="preserve"> that awards a portion of the member's accrued benefit</w:t>
            </w:r>
            <w:r w:rsidRPr="006C62AE">
              <w:t xml:space="preserve"> to t</w:t>
            </w:r>
            <w:r w:rsidRPr="006C62AE">
              <w:t>he member's former spouse, to</w:t>
            </w:r>
            <w:r w:rsidRPr="006C62AE">
              <w:t xml:space="preserve"> by rule define and specify the rights and responsibilities of the</w:t>
            </w:r>
            <w:r w:rsidRPr="006C62AE">
              <w:t xml:space="preserve"> member's</w:t>
            </w:r>
            <w:r w:rsidRPr="006C62AE">
              <w:t xml:space="preserve"> alternate payee and the terms and features of the benefit awarded the alternate payee under the </w:t>
            </w:r>
            <w:r w:rsidRPr="006C62AE">
              <w:t xml:space="preserve">qualified domestic relations </w:t>
            </w:r>
            <w:r w:rsidRPr="006C62AE">
              <w:t xml:space="preserve">order </w:t>
            </w:r>
            <w:r w:rsidRPr="006C62AE">
              <w:t>incident to the divo</w:t>
            </w:r>
            <w:r w:rsidRPr="006C62AE">
              <w:t xml:space="preserve">rce </w:t>
            </w:r>
            <w:r w:rsidRPr="006C62AE">
              <w:t xml:space="preserve">with </w:t>
            </w:r>
            <w:r w:rsidRPr="006C62AE">
              <w:t xml:space="preserve">a </w:t>
            </w:r>
            <w:r w:rsidRPr="006C62AE">
              <w:t xml:space="preserve">requirement </w:t>
            </w:r>
            <w:r w:rsidRPr="006C62AE">
              <w:t>for</w:t>
            </w:r>
            <w:r w:rsidRPr="006C62AE">
              <w:t xml:space="preserve"> the board </w:t>
            </w:r>
            <w:r w:rsidRPr="006C62AE">
              <w:t xml:space="preserve">to </w:t>
            </w:r>
            <w:r w:rsidRPr="006C62AE">
              <w:t xml:space="preserve">ensure </w:t>
            </w:r>
            <w:r w:rsidRPr="006C62AE">
              <w:t xml:space="preserve">by rule </w:t>
            </w:r>
            <w:r w:rsidRPr="006C62AE">
              <w:t xml:space="preserve">that the rights and responsibilities of the alternate payee and the terms and features of the benefit awarded the alternate payee under </w:t>
            </w:r>
            <w:r w:rsidRPr="006C62AE">
              <w:t xml:space="preserve">that </w:t>
            </w:r>
            <w:r w:rsidRPr="006C62AE">
              <w:t xml:space="preserve">order are equal to the rights attained by the member or the </w:t>
            </w:r>
            <w:r w:rsidRPr="006C62AE">
              <w:t xml:space="preserve">member's beneficiary. The bill </w:t>
            </w:r>
            <w:r w:rsidRPr="006C62AE">
              <w:t xml:space="preserve">removes </w:t>
            </w:r>
            <w:r w:rsidRPr="006C62AE">
              <w:t xml:space="preserve">the board's </w:t>
            </w:r>
            <w:r w:rsidRPr="006C62AE">
              <w:t>discretion</w:t>
            </w:r>
            <w:r w:rsidRPr="006C62AE">
              <w:t xml:space="preserve"> to </w:t>
            </w:r>
            <w:r w:rsidRPr="006C62AE">
              <w:t xml:space="preserve">by rule </w:t>
            </w:r>
            <w:r w:rsidRPr="006C62AE">
              <w:t>prescribe terms</w:t>
            </w:r>
            <w:r w:rsidRPr="006C62AE">
              <w:t xml:space="preserve"> </w:t>
            </w:r>
            <w:r w:rsidRPr="006C62AE">
              <w:t xml:space="preserve">on which the interest awarded the alternate payee under </w:t>
            </w:r>
            <w:r w:rsidRPr="006C62AE">
              <w:t>such an</w:t>
            </w:r>
            <w:r w:rsidRPr="006C62AE">
              <w:t xml:space="preserve"> order</w:t>
            </w:r>
            <w:r w:rsidRPr="006C62AE">
              <w:t xml:space="preserve"> </w:t>
            </w:r>
            <w:r w:rsidRPr="006C62AE">
              <w:t>may be transferred at the alternate payee's death</w:t>
            </w:r>
            <w:r w:rsidRPr="006C62AE">
              <w:t xml:space="preserve"> and instead</w:t>
            </w:r>
            <w:r w:rsidRPr="006C62AE">
              <w:t xml:space="preserve"> requir</w:t>
            </w:r>
            <w:r w:rsidRPr="006C62AE">
              <w:t>es</w:t>
            </w:r>
            <w:r w:rsidRPr="006C62AE">
              <w:t xml:space="preserve"> the board</w:t>
            </w:r>
            <w:r w:rsidRPr="006C62AE">
              <w:t xml:space="preserve"> </w:t>
            </w:r>
            <w:r w:rsidRPr="006C62AE">
              <w:t xml:space="preserve">by rule to </w:t>
            </w:r>
            <w:r w:rsidRPr="006C62AE">
              <w:t>presc</w:t>
            </w:r>
            <w:r w:rsidRPr="006C62AE">
              <w:t xml:space="preserve">ribe </w:t>
            </w:r>
            <w:r w:rsidRPr="006C62AE">
              <w:t xml:space="preserve">such </w:t>
            </w:r>
            <w:r w:rsidRPr="006C62AE">
              <w:t xml:space="preserve">terms </w:t>
            </w:r>
            <w:r w:rsidRPr="006C62AE">
              <w:t xml:space="preserve">and requires the prescribed terms to be </w:t>
            </w:r>
            <w:r w:rsidRPr="006C62AE">
              <w:t>equal to the terms prescribed for a member</w:t>
            </w:r>
            <w:r w:rsidRPr="006C62AE">
              <w:t>.</w:t>
            </w:r>
            <w:r w:rsidRPr="006C62AE">
              <w:t xml:space="preserve"> The bill </w:t>
            </w:r>
            <w:r>
              <w:t xml:space="preserve">establishes that </w:t>
            </w:r>
            <w:r>
              <w:t xml:space="preserve">rules adopted under </w:t>
            </w:r>
            <w:r>
              <w:t xml:space="preserve">certain </w:t>
            </w:r>
            <w:r>
              <w:t xml:space="preserve">Texas Administrative Code provisions relating to </w:t>
            </w:r>
            <w:r>
              <w:t xml:space="preserve">the retirement system and </w:t>
            </w:r>
            <w:r>
              <w:t>domestic relations orders e</w:t>
            </w:r>
            <w:r>
              <w:t xml:space="preserve">ffective January 1, 2018, are considered to comply with the bill and that the bill </w:t>
            </w:r>
            <w:r w:rsidRPr="006C62AE">
              <w:t>applies only a qualified domestic relations order entered or amended on or after January 1, 2018.</w:t>
            </w:r>
          </w:p>
          <w:p w:rsidR="008423E4" w:rsidRPr="006C62AE" w:rsidRDefault="00BF205C" w:rsidP="006C50DB">
            <w:pPr>
              <w:rPr>
                <w:b/>
              </w:rPr>
            </w:pPr>
          </w:p>
        </w:tc>
      </w:tr>
      <w:tr w:rsidR="00DA6A5C" w:rsidTr="00371DFD">
        <w:tc>
          <w:tcPr>
            <w:tcW w:w="9582" w:type="dxa"/>
          </w:tcPr>
          <w:p w:rsidR="008423E4" w:rsidRPr="006C62AE" w:rsidRDefault="00BF205C" w:rsidP="006C50DB">
            <w:pPr>
              <w:rPr>
                <w:b/>
              </w:rPr>
            </w:pPr>
            <w:r w:rsidRPr="006C62AE">
              <w:rPr>
                <w:b/>
                <w:u w:val="single"/>
              </w:rPr>
              <w:t>EFFECTIVE DATE</w:t>
            </w:r>
            <w:r w:rsidRPr="006C62AE">
              <w:rPr>
                <w:b/>
              </w:rPr>
              <w:t xml:space="preserve"> </w:t>
            </w:r>
          </w:p>
          <w:p w:rsidR="008423E4" w:rsidRPr="006C62AE" w:rsidRDefault="00BF205C" w:rsidP="006C50DB"/>
          <w:p w:rsidR="008423E4" w:rsidRPr="006C62AE" w:rsidRDefault="00BF205C" w:rsidP="006C50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C62AE">
              <w:t>September 1, 2017.</w:t>
            </w:r>
          </w:p>
          <w:p w:rsidR="008423E4" w:rsidRDefault="00BF205C" w:rsidP="006C50DB">
            <w:pPr>
              <w:rPr>
                <w:b/>
              </w:rPr>
            </w:pPr>
          </w:p>
          <w:p w:rsidR="006C50DB" w:rsidRPr="006C62AE" w:rsidRDefault="00BF205C" w:rsidP="006C50DB">
            <w:pPr>
              <w:rPr>
                <w:b/>
              </w:rPr>
            </w:pPr>
          </w:p>
        </w:tc>
      </w:tr>
      <w:tr w:rsidR="00DA6A5C" w:rsidTr="00371DFD">
        <w:tc>
          <w:tcPr>
            <w:tcW w:w="9582" w:type="dxa"/>
          </w:tcPr>
          <w:p w:rsidR="00371DFD" w:rsidRDefault="00BF205C" w:rsidP="006C50D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A62C5C" w:rsidRDefault="00BF205C" w:rsidP="006C50DB">
            <w:pPr>
              <w:jc w:val="both"/>
            </w:pPr>
          </w:p>
          <w:p w:rsidR="00A62C5C" w:rsidRDefault="00BF205C" w:rsidP="006C50DB">
            <w:pPr>
              <w:jc w:val="both"/>
            </w:pPr>
            <w:r>
              <w:t>While C.S.H.B. 4203 may differ from the original in minor or nonsubstantive ways, the following comparison is organized and formatted in a manner that indicates the substantial differences between the introduced and committee substitute version</w:t>
            </w:r>
            <w:r>
              <w:t>s of the bill.</w:t>
            </w:r>
          </w:p>
          <w:p w:rsidR="00A62C5C" w:rsidRPr="00A62C5C" w:rsidRDefault="00BF205C" w:rsidP="006C50DB">
            <w:pPr>
              <w:jc w:val="both"/>
            </w:pPr>
          </w:p>
        </w:tc>
      </w:tr>
      <w:tr w:rsidR="00DA6A5C" w:rsidTr="00371DF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23"/>
              <w:gridCol w:w="4623"/>
            </w:tblGrid>
            <w:tr w:rsidR="00DA6A5C" w:rsidTr="00371DFD">
              <w:trPr>
                <w:cantSplit/>
                <w:tblHeader/>
              </w:trPr>
              <w:tc>
                <w:tcPr>
                  <w:tcW w:w="4723" w:type="dxa"/>
                  <w:tcMar>
                    <w:bottom w:w="188" w:type="dxa"/>
                  </w:tcMar>
                </w:tcPr>
                <w:p w:rsidR="00371DFD" w:rsidRDefault="00BF205C" w:rsidP="006C50D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23" w:type="dxa"/>
                  <w:tcMar>
                    <w:bottom w:w="188" w:type="dxa"/>
                  </w:tcMar>
                </w:tcPr>
                <w:p w:rsidR="00371DFD" w:rsidRDefault="00BF205C" w:rsidP="006C50D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A6A5C" w:rsidTr="00371DFD">
              <w:tc>
                <w:tcPr>
                  <w:tcW w:w="4723" w:type="dxa"/>
                  <w:tcMar>
                    <w:righ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>
                    <w:t>SECTION 1.  Sections 841.0091(b) and (c), Government Code, are amended</w:t>
                  </w:r>
                  <w:r>
                    <w:t>.</w:t>
                  </w:r>
                </w:p>
                <w:p w:rsidR="00371DFD" w:rsidRDefault="00BF205C" w:rsidP="006C50DB">
                  <w:pPr>
                    <w:jc w:val="both"/>
                  </w:pPr>
                </w:p>
              </w:tc>
              <w:tc>
                <w:tcPr>
                  <w:tcW w:w="4623" w:type="dxa"/>
                  <w:tcMar>
                    <w:lef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>
                    <w:t>SECTION 1. Same as introduced version.</w:t>
                  </w:r>
                </w:p>
                <w:p w:rsidR="00371DFD" w:rsidRDefault="00BF205C" w:rsidP="006C50DB">
                  <w:pPr>
                    <w:jc w:val="both"/>
                  </w:pPr>
                </w:p>
                <w:p w:rsidR="00371DFD" w:rsidRDefault="00BF205C" w:rsidP="006C50DB">
                  <w:pPr>
                    <w:jc w:val="both"/>
                  </w:pPr>
                </w:p>
              </w:tc>
            </w:tr>
            <w:tr w:rsidR="00DA6A5C" w:rsidTr="00371DFD">
              <w:tc>
                <w:tcPr>
                  <w:tcW w:w="4723" w:type="dxa"/>
                  <w:tcMar>
                    <w:righ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>
                    <w:t xml:space="preserve">SECTION 2.  Not later than December 1, 2017, the board of trustees of the Texas </w:t>
                  </w:r>
                  <w:r>
                    <w:t>County and District Retirement System shall adopt the rules necessary to implement Section 841.0091, Government Code, as amended by this Act.</w:t>
                  </w:r>
                </w:p>
                <w:p w:rsidR="00371DFD" w:rsidRDefault="00BF205C" w:rsidP="006C50DB">
                  <w:pPr>
                    <w:jc w:val="both"/>
                  </w:pPr>
                </w:p>
              </w:tc>
              <w:tc>
                <w:tcPr>
                  <w:tcW w:w="4623" w:type="dxa"/>
                  <w:tcMar>
                    <w:lef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 w:rsidRPr="00A62C5C">
                    <w:rPr>
                      <w:highlight w:val="lightGray"/>
                    </w:rPr>
                    <w:t>No equivalent provision.</w:t>
                  </w:r>
                </w:p>
                <w:p w:rsidR="00371DFD" w:rsidRDefault="00BF205C" w:rsidP="006C50DB">
                  <w:pPr>
                    <w:jc w:val="both"/>
                  </w:pPr>
                </w:p>
              </w:tc>
            </w:tr>
            <w:tr w:rsidR="00DA6A5C" w:rsidTr="00371DFD">
              <w:tc>
                <w:tcPr>
                  <w:tcW w:w="4723" w:type="dxa"/>
                  <w:tcMar>
                    <w:righ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 w:rsidRPr="00A62C5C">
                    <w:rPr>
                      <w:highlight w:val="lightGray"/>
                    </w:rPr>
                    <w:t>No equivalent provision.</w:t>
                  </w:r>
                </w:p>
                <w:p w:rsidR="00371DFD" w:rsidRDefault="00BF205C" w:rsidP="006C50DB">
                  <w:pPr>
                    <w:jc w:val="both"/>
                  </w:pPr>
                </w:p>
              </w:tc>
              <w:tc>
                <w:tcPr>
                  <w:tcW w:w="4623" w:type="dxa"/>
                  <w:tcMar>
                    <w:lef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>
                    <w:t xml:space="preserve">SECTION 2.  For purposes of this Act, rules adopted under </w:t>
                  </w:r>
                  <w:r>
                    <w:t>Chapter 109, Title 34, Texas Administrative Code, effective January 1, 2018, are considered to comply with the changes in law made by this Act.</w:t>
                  </w:r>
                </w:p>
                <w:p w:rsidR="00371DFD" w:rsidRDefault="00BF205C" w:rsidP="006C50DB">
                  <w:pPr>
                    <w:jc w:val="both"/>
                  </w:pPr>
                </w:p>
              </w:tc>
            </w:tr>
            <w:tr w:rsidR="00DA6A5C" w:rsidTr="00371DFD">
              <w:tc>
                <w:tcPr>
                  <w:tcW w:w="4723" w:type="dxa"/>
                  <w:tcMar>
                    <w:righ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>
                    <w:t>SECTION 3.  The change in law made by this Act to Section 841.0091, Government Code, applies only to a qualifi</w:t>
                  </w:r>
                  <w:r>
                    <w:t>ed domestic relations order entered or amended on or after January 1, 2018. A qualified domestic relations order entered or amended before January 1, 2018, is governed by the law as it existed immediately before the effective date of this Act, and that law</w:t>
                  </w:r>
                  <w:r>
                    <w:t xml:space="preserve"> is continued in effect for that purpose.</w:t>
                  </w:r>
                </w:p>
                <w:p w:rsidR="00371DFD" w:rsidRDefault="00BF205C" w:rsidP="006C50DB">
                  <w:pPr>
                    <w:jc w:val="both"/>
                  </w:pPr>
                </w:p>
              </w:tc>
              <w:tc>
                <w:tcPr>
                  <w:tcW w:w="4623" w:type="dxa"/>
                  <w:tcMar>
                    <w:lef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>
                    <w:t>SECTION 3. Same as introduced version.</w:t>
                  </w:r>
                </w:p>
                <w:p w:rsidR="00371DFD" w:rsidRDefault="00BF205C" w:rsidP="006C50DB">
                  <w:pPr>
                    <w:jc w:val="both"/>
                  </w:pPr>
                </w:p>
                <w:p w:rsidR="00371DFD" w:rsidRDefault="00BF205C" w:rsidP="006C50DB">
                  <w:pPr>
                    <w:jc w:val="both"/>
                  </w:pPr>
                </w:p>
              </w:tc>
            </w:tr>
            <w:tr w:rsidR="00DA6A5C" w:rsidTr="00371DFD">
              <w:tc>
                <w:tcPr>
                  <w:tcW w:w="4723" w:type="dxa"/>
                  <w:tcMar>
                    <w:righ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>
                    <w:t>SECTION 4.  This Act takes effect September 1, 2017.</w:t>
                  </w:r>
                </w:p>
                <w:p w:rsidR="00371DFD" w:rsidRDefault="00BF205C" w:rsidP="006C50DB">
                  <w:pPr>
                    <w:jc w:val="both"/>
                  </w:pPr>
                </w:p>
              </w:tc>
              <w:tc>
                <w:tcPr>
                  <w:tcW w:w="4623" w:type="dxa"/>
                  <w:tcMar>
                    <w:left w:w="360" w:type="dxa"/>
                  </w:tcMar>
                </w:tcPr>
                <w:p w:rsidR="00371DFD" w:rsidRDefault="00BF205C" w:rsidP="006C50DB">
                  <w:pPr>
                    <w:jc w:val="both"/>
                  </w:pPr>
                  <w:r>
                    <w:t>SECTION 4. Same as introduced version.</w:t>
                  </w:r>
                </w:p>
                <w:p w:rsidR="00371DFD" w:rsidRDefault="00BF205C" w:rsidP="006C50DB">
                  <w:pPr>
                    <w:jc w:val="both"/>
                  </w:pPr>
                </w:p>
                <w:p w:rsidR="00371DFD" w:rsidRDefault="00BF205C" w:rsidP="006C50DB">
                  <w:pPr>
                    <w:jc w:val="both"/>
                  </w:pPr>
                </w:p>
              </w:tc>
            </w:tr>
          </w:tbl>
          <w:p w:rsidR="00371DFD" w:rsidRDefault="00BF205C" w:rsidP="006C50DB"/>
          <w:p w:rsidR="00371DFD" w:rsidRPr="006C62AE" w:rsidRDefault="00BF205C" w:rsidP="006C50DB">
            <w:pPr>
              <w:rPr>
                <w:b/>
                <w:u w:val="single"/>
              </w:rPr>
            </w:pPr>
          </w:p>
        </w:tc>
      </w:tr>
    </w:tbl>
    <w:p w:rsidR="008423E4" w:rsidRPr="006C62AE" w:rsidRDefault="00BF20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6C62AE" w:rsidRDefault="00BF205C" w:rsidP="008423E4"/>
    <w:sectPr w:rsidR="004108C3" w:rsidRPr="006C62A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205C">
      <w:r>
        <w:separator/>
      </w:r>
    </w:p>
  </w:endnote>
  <w:endnote w:type="continuationSeparator" w:id="0">
    <w:p w:rsidR="00000000" w:rsidRDefault="00B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79" w:rsidRDefault="00BF2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6A5C" w:rsidTr="009C1E9A">
      <w:trPr>
        <w:cantSplit/>
      </w:trPr>
      <w:tc>
        <w:tcPr>
          <w:tcW w:w="0" w:type="pct"/>
        </w:tcPr>
        <w:p w:rsidR="00137D90" w:rsidRDefault="00BF20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20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20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20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20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6A5C" w:rsidTr="009C1E9A">
      <w:trPr>
        <w:cantSplit/>
      </w:trPr>
      <w:tc>
        <w:tcPr>
          <w:tcW w:w="0" w:type="pct"/>
        </w:tcPr>
        <w:p w:rsidR="00EC379B" w:rsidRDefault="00BF20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20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28745</w:t>
          </w:r>
        </w:p>
      </w:tc>
      <w:tc>
        <w:tcPr>
          <w:tcW w:w="2453" w:type="pct"/>
        </w:tcPr>
        <w:p w:rsidR="00EC379B" w:rsidRDefault="00BF20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17.125.226</w:t>
          </w:r>
          <w:r>
            <w:fldChar w:fldCharType="end"/>
          </w:r>
        </w:p>
      </w:tc>
    </w:tr>
    <w:tr w:rsidR="00DA6A5C" w:rsidTr="009C1E9A">
      <w:trPr>
        <w:cantSplit/>
      </w:trPr>
      <w:tc>
        <w:tcPr>
          <w:tcW w:w="0" w:type="pct"/>
        </w:tcPr>
        <w:p w:rsidR="00EC379B" w:rsidRDefault="00BF20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20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25566</w:t>
          </w:r>
        </w:p>
      </w:tc>
      <w:tc>
        <w:tcPr>
          <w:tcW w:w="2453" w:type="pct"/>
        </w:tcPr>
        <w:p w:rsidR="00EC379B" w:rsidRDefault="00BF205C" w:rsidP="006D504F">
          <w:pPr>
            <w:pStyle w:val="Footer"/>
            <w:rPr>
              <w:rStyle w:val="PageNumber"/>
            </w:rPr>
          </w:pPr>
        </w:p>
        <w:p w:rsidR="00EC379B" w:rsidRDefault="00BF20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6A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20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20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20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79" w:rsidRDefault="00BF2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205C">
      <w:r>
        <w:separator/>
      </w:r>
    </w:p>
  </w:footnote>
  <w:footnote w:type="continuationSeparator" w:id="0">
    <w:p w:rsidR="00000000" w:rsidRDefault="00BF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79" w:rsidRDefault="00BF2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79" w:rsidRDefault="00BF20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79" w:rsidRDefault="00BF2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C"/>
    <w:rsid w:val="00BF205C"/>
    <w:rsid w:val="00D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3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61E"/>
  </w:style>
  <w:style w:type="paragraph" w:styleId="CommentSubject">
    <w:name w:val="annotation subject"/>
    <w:basedOn w:val="CommentText"/>
    <w:next w:val="CommentText"/>
    <w:link w:val="CommentSubjectChar"/>
    <w:rsid w:val="00243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61E"/>
    <w:rPr>
      <w:b/>
      <w:bCs/>
    </w:rPr>
  </w:style>
  <w:style w:type="character" w:styleId="Hyperlink">
    <w:name w:val="Hyperlink"/>
    <w:basedOn w:val="DefaultParagraphFont"/>
    <w:rsid w:val="00507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96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3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61E"/>
  </w:style>
  <w:style w:type="paragraph" w:styleId="CommentSubject">
    <w:name w:val="annotation subject"/>
    <w:basedOn w:val="CommentText"/>
    <w:next w:val="CommentText"/>
    <w:link w:val="CommentSubjectChar"/>
    <w:rsid w:val="00243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61E"/>
    <w:rPr>
      <w:b/>
      <w:bCs/>
    </w:rPr>
  </w:style>
  <w:style w:type="character" w:styleId="Hyperlink">
    <w:name w:val="Hyperlink"/>
    <w:basedOn w:val="DefaultParagraphFont"/>
    <w:rsid w:val="00507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96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3482</Characters>
  <Application>Microsoft Office Word</Application>
  <DocSecurity>4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HB04203 (Committee Report (Substituted))</vt:lpstr>
    </vt:vector>
  </TitlesOfParts>
  <Company>State of Texas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28745</dc:subject>
  <dc:creator>State of Texas</dc:creator>
  <dc:description>HB 4203 by Swanson-(H)Pensions (Substitute Document Number: 85R 25566)</dc:description>
  <cp:lastModifiedBy> Stacey Nicchio</cp:lastModifiedBy>
  <cp:revision>2</cp:revision>
  <cp:lastPrinted>2017-05-05T21:40:00Z</cp:lastPrinted>
  <dcterms:created xsi:type="dcterms:W3CDTF">2017-05-06T21:03:00Z</dcterms:created>
  <dcterms:modified xsi:type="dcterms:W3CDTF">2017-05-06T21:03:00Z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17.125.226</vt:lpwstr>
  </property>
</Properties>
</file>