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42ABF" w:rsidTr="00345119">
        <w:tc>
          <w:tcPr>
            <w:tcW w:w="9576" w:type="dxa"/>
            <w:noWrap/>
          </w:tcPr>
          <w:p w:rsidR="008423E4" w:rsidRPr="0022177D" w:rsidRDefault="00BC3912" w:rsidP="00345119">
            <w:pPr>
              <w:pStyle w:val="Heading1"/>
            </w:pPr>
            <w:bookmarkStart w:id="0" w:name="_GoBack"/>
            <w:bookmarkEnd w:id="0"/>
            <w:r w:rsidRPr="00631897">
              <w:t>BILL ANALYSIS</w:t>
            </w:r>
          </w:p>
        </w:tc>
      </w:tr>
    </w:tbl>
    <w:p w:rsidR="008423E4" w:rsidRPr="0022177D" w:rsidRDefault="00BC3912" w:rsidP="008423E4">
      <w:pPr>
        <w:jc w:val="center"/>
      </w:pPr>
    </w:p>
    <w:p w:rsidR="008423E4" w:rsidRPr="00B31F0E" w:rsidRDefault="00BC3912" w:rsidP="008423E4"/>
    <w:p w:rsidR="008423E4" w:rsidRPr="00742794" w:rsidRDefault="00BC3912" w:rsidP="008423E4">
      <w:pPr>
        <w:tabs>
          <w:tab w:val="right" w:pos="9360"/>
        </w:tabs>
      </w:pPr>
    </w:p>
    <w:tbl>
      <w:tblPr>
        <w:tblW w:w="0" w:type="auto"/>
        <w:tblLayout w:type="fixed"/>
        <w:tblLook w:val="01E0" w:firstRow="1" w:lastRow="1" w:firstColumn="1" w:lastColumn="1" w:noHBand="0" w:noVBand="0"/>
      </w:tblPr>
      <w:tblGrid>
        <w:gridCol w:w="9576"/>
      </w:tblGrid>
      <w:tr w:rsidR="00242ABF" w:rsidTr="00345119">
        <w:tc>
          <w:tcPr>
            <w:tcW w:w="9576" w:type="dxa"/>
          </w:tcPr>
          <w:p w:rsidR="008423E4" w:rsidRPr="00861995" w:rsidRDefault="00BC3912" w:rsidP="00345119">
            <w:pPr>
              <w:jc w:val="right"/>
            </w:pPr>
            <w:r>
              <w:t>H.B. 4329</w:t>
            </w:r>
          </w:p>
        </w:tc>
      </w:tr>
      <w:tr w:rsidR="00242ABF" w:rsidTr="00345119">
        <w:tc>
          <w:tcPr>
            <w:tcW w:w="9576" w:type="dxa"/>
          </w:tcPr>
          <w:p w:rsidR="008423E4" w:rsidRPr="00861995" w:rsidRDefault="00BC3912" w:rsidP="00B0446A">
            <w:pPr>
              <w:jc w:val="right"/>
            </w:pPr>
            <w:r>
              <w:t xml:space="preserve">By: </w:t>
            </w:r>
            <w:r>
              <w:t>Workman</w:t>
            </w:r>
          </w:p>
        </w:tc>
      </w:tr>
      <w:tr w:rsidR="00242ABF" w:rsidTr="00345119">
        <w:tc>
          <w:tcPr>
            <w:tcW w:w="9576" w:type="dxa"/>
          </w:tcPr>
          <w:p w:rsidR="008423E4" w:rsidRPr="00861995" w:rsidRDefault="00BC3912" w:rsidP="00345119">
            <w:pPr>
              <w:jc w:val="right"/>
            </w:pPr>
            <w:r>
              <w:t>Special Purpose Districts</w:t>
            </w:r>
          </w:p>
        </w:tc>
      </w:tr>
      <w:tr w:rsidR="00242ABF" w:rsidTr="00345119">
        <w:tc>
          <w:tcPr>
            <w:tcW w:w="9576" w:type="dxa"/>
          </w:tcPr>
          <w:p w:rsidR="008423E4" w:rsidRDefault="00BC3912" w:rsidP="00345119">
            <w:pPr>
              <w:jc w:val="right"/>
            </w:pPr>
            <w:r>
              <w:t>Committee Report (Unamended)</w:t>
            </w:r>
          </w:p>
        </w:tc>
      </w:tr>
    </w:tbl>
    <w:p w:rsidR="008423E4" w:rsidRDefault="00BC3912" w:rsidP="008423E4">
      <w:pPr>
        <w:tabs>
          <w:tab w:val="right" w:pos="9360"/>
        </w:tabs>
      </w:pPr>
    </w:p>
    <w:p w:rsidR="008423E4" w:rsidRDefault="00BC3912" w:rsidP="008423E4"/>
    <w:p w:rsidR="008423E4" w:rsidRDefault="00BC3912" w:rsidP="008423E4"/>
    <w:tbl>
      <w:tblPr>
        <w:tblW w:w="0" w:type="auto"/>
        <w:tblCellMar>
          <w:left w:w="115" w:type="dxa"/>
          <w:right w:w="115" w:type="dxa"/>
        </w:tblCellMar>
        <w:tblLook w:val="01E0" w:firstRow="1" w:lastRow="1" w:firstColumn="1" w:lastColumn="1" w:noHBand="0" w:noVBand="0"/>
      </w:tblPr>
      <w:tblGrid>
        <w:gridCol w:w="9576"/>
      </w:tblGrid>
      <w:tr w:rsidR="00242ABF" w:rsidTr="00345119">
        <w:tc>
          <w:tcPr>
            <w:tcW w:w="9576" w:type="dxa"/>
          </w:tcPr>
          <w:p w:rsidR="008423E4" w:rsidRPr="00A8133F" w:rsidRDefault="00BC3912" w:rsidP="00BE1DE8">
            <w:pPr>
              <w:rPr>
                <w:b/>
              </w:rPr>
            </w:pPr>
            <w:r w:rsidRPr="009C1E9A">
              <w:rPr>
                <w:b/>
                <w:u w:val="single"/>
              </w:rPr>
              <w:t>BACKGROUND AND PURPOSE</w:t>
            </w:r>
            <w:r>
              <w:rPr>
                <w:b/>
              </w:rPr>
              <w:t xml:space="preserve"> </w:t>
            </w:r>
          </w:p>
          <w:p w:rsidR="008423E4" w:rsidRDefault="00BC3912" w:rsidP="00BE1DE8"/>
          <w:p w:rsidR="008423E4" w:rsidRDefault="00BC3912" w:rsidP="00BE1DE8">
            <w:pPr>
              <w:pStyle w:val="Header"/>
              <w:jc w:val="both"/>
            </w:pPr>
            <w:r>
              <w:t>Interested parties contend that the ability of the</w:t>
            </w:r>
            <w:r>
              <w:t xml:space="preserve"> Travis County Municipal Utility District No. 3 </w:t>
            </w:r>
            <w:r>
              <w:t xml:space="preserve">to collect property taxes needs to be revised in order for the district to better address the needs of the local community. H.B. 4329 seeks to achieve this goal. </w:t>
            </w:r>
          </w:p>
          <w:p w:rsidR="008423E4" w:rsidRPr="00E26B13" w:rsidRDefault="00BC3912" w:rsidP="00BE1DE8">
            <w:pPr>
              <w:rPr>
                <w:b/>
              </w:rPr>
            </w:pPr>
          </w:p>
        </w:tc>
      </w:tr>
      <w:tr w:rsidR="00242ABF" w:rsidTr="00345119">
        <w:tc>
          <w:tcPr>
            <w:tcW w:w="9576" w:type="dxa"/>
          </w:tcPr>
          <w:p w:rsidR="0017725B" w:rsidRDefault="00BC3912" w:rsidP="00BE1DE8">
            <w:pPr>
              <w:rPr>
                <w:b/>
                <w:u w:val="single"/>
              </w:rPr>
            </w:pPr>
            <w:r>
              <w:rPr>
                <w:b/>
                <w:u w:val="single"/>
              </w:rPr>
              <w:t>CRIMINAL JUSTICE IMPACT</w:t>
            </w:r>
          </w:p>
          <w:p w:rsidR="0017725B" w:rsidRDefault="00BC3912" w:rsidP="00BE1DE8">
            <w:pPr>
              <w:rPr>
                <w:b/>
                <w:u w:val="single"/>
              </w:rPr>
            </w:pPr>
          </w:p>
          <w:p w:rsidR="00B23698" w:rsidRPr="00B23698" w:rsidRDefault="00BC3912" w:rsidP="00BE1DE8">
            <w:pPr>
              <w:jc w:val="both"/>
            </w:pPr>
            <w:r>
              <w:t>It is the committee's opinion that this bill does not expressly cr</w:t>
            </w:r>
            <w:r>
              <w:t>eate a criminal offense, increase the punishment for an existing criminal offense or category of offenses, or change the eligibility of a person for community supervision, parole, or mandatory supervision.</w:t>
            </w:r>
          </w:p>
          <w:p w:rsidR="0017725B" w:rsidRPr="0017725B" w:rsidRDefault="00BC3912" w:rsidP="00BE1DE8">
            <w:pPr>
              <w:rPr>
                <w:b/>
                <w:u w:val="single"/>
              </w:rPr>
            </w:pPr>
          </w:p>
        </w:tc>
      </w:tr>
      <w:tr w:rsidR="00242ABF" w:rsidTr="00345119">
        <w:tc>
          <w:tcPr>
            <w:tcW w:w="9576" w:type="dxa"/>
          </w:tcPr>
          <w:p w:rsidR="008423E4" w:rsidRPr="00A8133F" w:rsidRDefault="00BC3912" w:rsidP="00BE1DE8">
            <w:pPr>
              <w:rPr>
                <w:b/>
              </w:rPr>
            </w:pPr>
            <w:r w:rsidRPr="009C1E9A">
              <w:rPr>
                <w:b/>
                <w:u w:val="single"/>
              </w:rPr>
              <w:t>RULEMAKING AUTHORITY</w:t>
            </w:r>
            <w:r>
              <w:rPr>
                <w:b/>
              </w:rPr>
              <w:t xml:space="preserve"> </w:t>
            </w:r>
          </w:p>
          <w:p w:rsidR="008423E4" w:rsidRDefault="00BC3912" w:rsidP="00BE1DE8"/>
          <w:p w:rsidR="00B23698" w:rsidRDefault="00BC3912" w:rsidP="00BE1DE8">
            <w:pPr>
              <w:pStyle w:val="Header"/>
              <w:tabs>
                <w:tab w:val="clear" w:pos="4320"/>
                <w:tab w:val="clear" w:pos="8640"/>
              </w:tabs>
              <w:jc w:val="both"/>
            </w:pPr>
            <w:r>
              <w:t xml:space="preserve">It is the committee's </w:t>
            </w:r>
            <w:r>
              <w:t>opinion that this bill does not expressly grant any additional rulemaking authority to a state officer, department, agency, or institution.</w:t>
            </w:r>
          </w:p>
          <w:p w:rsidR="008423E4" w:rsidRPr="00E21FDC" w:rsidRDefault="00BC3912" w:rsidP="00BE1DE8">
            <w:pPr>
              <w:rPr>
                <w:b/>
              </w:rPr>
            </w:pPr>
          </w:p>
        </w:tc>
      </w:tr>
      <w:tr w:rsidR="00242ABF" w:rsidTr="00345119">
        <w:tc>
          <w:tcPr>
            <w:tcW w:w="9576" w:type="dxa"/>
          </w:tcPr>
          <w:p w:rsidR="008423E4" w:rsidRPr="00A8133F" w:rsidRDefault="00BC3912" w:rsidP="00BE1DE8">
            <w:pPr>
              <w:rPr>
                <w:b/>
              </w:rPr>
            </w:pPr>
            <w:r w:rsidRPr="009C1E9A">
              <w:rPr>
                <w:b/>
                <w:u w:val="single"/>
              </w:rPr>
              <w:t>ANALYSIS</w:t>
            </w:r>
            <w:r>
              <w:rPr>
                <w:b/>
              </w:rPr>
              <w:t xml:space="preserve"> </w:t>
            </w:r>
          </w:p>
          <w:p w:rsidR="008423E4" w:rsidRDefault="00BC3912" w:rsidP="00BE1DE8"/>
          <w:p w:rsidR="008423E4" w:rsidRDefault="00BC3912" w:rsidP="00BE1DE8">
            <w:pPr>
              <w:pStyle w:val="Header"/>
              <w:tabs>
                <w:tab w:val="clear" w:pos="4320"/>
                <w:tab w:val="clear" w:pos="8640"/>
              </w:tabs>
              <w:jc w:val="both"/>
            </w:pPr>
            <w:r>
              <w:t xml:space="preserve">H.B. 4329 amends the </w:t>
            </w:r>
            <w:r w:rsidRPr="009D044D">
              <w:t>Special District Local Laws Code</w:t>
            </w:r>
            <w:r>
              <w:t xml:space="preserve"> to authorize </w:t>
            </w:r>
            <w:r w:rsidRPr="009D044D">
              <w:t xml:space="preserve">the Travis County Municipal Utility </w:t>
            </w:r>
            <w:r w:rsidRPr="009D044D">
              <w:t>District No. 3</w:t>
            </w:r>
            <w:r>
              <w:t xml:space="preserve"> and </w:t>
            </w:r>
            <w:r w:rsidRPr="009D044D">
              <w:t xml:space="preserve">an owner of property </w:t>
            </w:r>
            <w:r>
              <w:t xml:space="preserve">that is </w:t>
            </w:r>
            <w:r w:rsidRPr="009D044D">
              <w:t xml:space="preserve">located in the district and exempt from </w:t>
            </w:r>
            <w:r>
              <w:t>property</w:t>
            </w:r>
            <w:r w:rsidRPr="009D044D">
              <w:t xml:space="preserve"> taxation by the district </w:t>
            </w:r>
            <w:r>
              <w:t xml:space="preserve">to </w:t>
            </w:r>
            <w:r w:rsidRPr="009D044D">
              <w:t>enter into an agreement to allow the district to tax that property</w:t>
            </w:r>
            <w:r>
              <w:t>, subject to the bill's provisions</w:t>
            </w:r>
            <w:r>
              <w:t xml:space="preserve">. The bill requires the agreement to </w:t>
            </w:r>
            <w:r w:rsidRPr="009D044D">
              <w:t>be filed with the chief appraiser of the Travis County Appraisal District not later than December 31 of the tax year preceding the first tax year for which the agreement is effective.</w:t>
            </w:r>
            <w:r>
              <w:t xml:space="preserve"> The bill makes the agreement </w:t>
            </w:r>
            <w:r w:rsidRPr="009D044D">
              <w:t>effect</w:t>
            </w:r>
            <w:r w:rsidRPr="009D044D">
              <w:t>ive until the earlier of</w:t>
            </w:r>
            <w:r>
              <w:t xml:space="preserve"> </w:t>
            </w:r>
            <w:r w:rsidRPr="009D044D">
              <w:t>the date on which the agreement expires under the terms of the agreement</w:t>
            </w:r>
            <w:r>
              <w:t xml:space="preserve"> or </w:t>
            </w:r>
            <w:r w:rsidRPr="009D044D">
              <w:t>the date on which the property described by the agreement is no longer entit</w:t>
            </w:r>
            <w:r>
              <w:t>led to exemption from property</w:t>
            </w:r>
            <w:r w:rsidRPr="009D044D">
              <w:t xml:space="preserve"> taxation.</w:t>
            </w:r>
            <w:r>
              <w:t xml:space="preserve"> The bill requires the </w:t>
            </w:r>
            <w:r w:rsidRPr="009D044D">
              <w:t>chief appraiser</w:t>
            </w:r>
            <w:r>
              <w:t>,</w:t>
            </w:r>
            <w:r>
              <w:t xml:space="preserve"> on receipt of </w:t>
            </w:r>
            <w:r>
              <w:t xml:space="preserve">an </w:t>
            </w:r>
            <w:r>
              <w:t xml:space="preserve">agreement </w:t>
            </w:r>
            <w:r>
              <w:t xml:space="preserve">and </w:t>
            </w:r>
            <w:r w:rsidRPr="00B23698">
              <w:t>beginning on January 1 of the first tax year following the year in which the agreement is filed and for each subsequent tax year for which the agreement is effective</w:t>
            </w:r>
            <w:r>
              <w:t xml:space="preserve">, to </w:t>
            </w:r>
            <w:r w:rsidRPr="00B23698">
              <w:t>consider the property that is the subject of the agree</w:t>
            </w:r>
            <w:r w:rsidRPr="00B23698">
              <w:t>ment to be taxable by the district, but not by any other taxing unit</w:t>
            </w:r>
            <w:r>
              <w:t>,</w:t>
            </w:r>
            <w:r>
              <w:t xml:space="preserve"> and </w:t>
            </w:r>
            <w:r w:rsidRPr="00B23698">
              <w:t>take all necessary steps to ensure the property that is the subject of the agreement is listed as property that is taxable by the district, but not by any other taxing unit, on the a</w:t>
            </w:r>
            <w:r w:rsidRPr="00B23698">
              <w:t>ppraisal roll that is certified by the chief appraiser to the district's assessor.</w:t>
            </w:r>
            <w:r>
              <w:t xml:space="preserve"> The bill </w:t>
            </w:r>
            <w:r w:rsidRPr="00B23698">
              <w:t xml:space="preserve">applies only to a </w:t>
            </w:r>
            <w:r>
              <w:t>property</w:t>
            </w:r>
            <w:r w:rsidRPr="00B23698">
              <w:t xml:space="preserve"> tax year that begins on or after January 1, 2018.</w:t>
            </w:r>
            <w:r>
              <w:t xml:space="preserve"> </w:t>
            </w:r>
          </w:p>
          <w:p w:rsidR="008423E4" w:rsidRPr="00835628" w:rsidRDefault="00BC3912" w:rsidP="00BE1DE8">
            <w:pPr>
              <w:rPr>
                <w:b/>
              </w:rPr>
            </w:pPr>
          </w:p>
        </w:tc>
      </w:tr>
      <w:tr w:rsidR="00242ABF" w:rsidTr="00345119">
        <w:tc>
          <w:tcPr>
            <w:tcW w:w="9576" w:type="dxa"/>
          </w:tcPr>
          <w:p w:rsidR="008423E4" w:rsidRPr="00A8133F" w:rsidRDefault="00BC3912" w:rsidP="00BE1DE8">
            <w:pPr>
              <w:rPr>
                <w:b/>
              </w:rPr>
            </w:pPr>
            <w:r w:rsidRPr="009C1E9A">
              <w:rPr>
                <w:b/>
                <w:u w:val="single"/>
              </w:rPr>
              <w:t>EFFECTIVE DATE</w:t>
            </w:r>
            <w:r>
              <w:rPr>
                <w:b/>
              </w:rPr>
              <w:t xml:space="preserve"> </w:t>
            </w:r>
          </w:p>
          <w:p w:rsidR="008423E4" w:rsidRDefault="00BC3912" w:rsidP="00BE1DE8"/>
          <w:p w:rsidR="008423E4" w:rsidRPr="003624F2" w:rsidRDefault="00BC3912" w:rsidP="00BE1DE8">
            <w:pPr>
              <w:pStyle w:val="Header"/>
              <w:tabs>
                <w:tab w:val="clear" w:pos="4320"/>
                <w:tab w:val="clear" w:pos="8640"/>
              </w:tabs>
              <w:jc w:val="both"/>
            </w:pPr>
            <w:r>
              <w:t>September 1, 2017.</w:t>
            </w:r>
          </w:p>
          <w:p w:rsidR="008423E4" w:rsidRPr="00233FDB" w:rsidRDefault="00BC3912" w:rsidP="00BE1DE8">
            <w:pPr>
              <w:rPr>
                <w:b/>
              </w:rPr>
            </w:pPr>
          </w:p>
        </w:tc>
      </w:tr>
    </w:tbl>
    <w:p w:rsidR="008423E4" w:rsidRPr="00BE0E75" w:rsidRDefault="00BC3912" w:rsidP="008423E4">
      <w:pPr>
        <w:spacing w:line="480" w:lineRule="auto"/>
        <w:jc w:val="both"/>
        <w:rPr>
          <w:rFonts w:ascii="Arial" w:hAnsi="Arial"/>
          <w:sz w:val="16"/>
          <w:szCs w:val="16"/>
        </w:rPr>
      </w:pPr>
    </w:p>
    <w:p w:rsidR="004108C3" w:rsidRPr="008423E4" w:rsidRDefault="00BC391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3912">
      <w:r>
        <w:separator/>
      </w:r>
    </w:p>
  </w:endnote>
  <w:endnote w:type="continuationSeparator" w:id="0">
    <w:p w:rsidR="00000000" w:rsidRDefault="00BC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42ABF" w:rsidTr="009C1E9A">
      <w:trPr>
        <w:cantSplit/>
      </w:trPr>
      <w:tc>
        <w:tcPr>
          <w:tcW w:w="0" w:type="pct"/>
        </w:tcPr>
        <w:p w:rsidR="00137D90" w:rsidRDefault="00BC3912" w:rsidP="009C1E9A">
          <w:pPr>
            <w:pStyle w:val="Footer"/>
            <w:tabs>
              <w:tab w:val="clear" w:pos="8640"/>
              <w:tab w:val="right" w:pos="9360"/>
            </w:tabs>
          </w:pPr>
        </w:p>
      </w:tc>
      <w:tc>
        <w:tcPr>
          <w:tcW w:w="2395" w:type="pct"/>
        </w:tcPr>
        <w:p w:rsidR="00137D90" w:rsidRDefault="00BC3912" w:rsidP="009C1E9A">
          <w:pPr>
            <w:pStyle w:val="Footer"/>
            <w:tabs>
              <w:tab w:val="clear" w:pos="8640"/>
              <w:tab w:val="right" w:pos="9360"/>
            </w:tabs>
          </w:pPr>
        </w:p>
        <w:p w:rsidR="001A4310" w:rsidRDefault="00BC3912" w:rsidP="009C1E9A">
          <w:pPr>
            <w:pStyle w:val="Footer"/>
            <w:tabs>
              <w:tab w:val="clear" w:pos="8640"/>
              <w:tab w:val="right" w:pos="9360"/>
            </w:tabs>
          </w:pPr>
        </w:p>
        <w:p w:rsidR="00137D90" w:rsidRDefault="00BC3912" w:rsidP="009C1E9A">
          <w:pPr>
            <w:pStyle w:val="Footer"/>
            <w:tabs>
              <w:tab w:val="clear" w:pos="8640"/>
              <w:tab w:val="right" w:pos="9360"/>
            </w:tabs>
          </w:pPr>
        </w:p>
      </w:tc>
      <w:tc>
        <w:tcPr>
          <w:tcW w:w="2453" w:type="pct"/>
        </w:tcPr>
        <w:p w:rsidR="00137D90" w:rsidRDefault="00BC3912" w:rsidP="009C1E9A">
          <w:pPr>
            <w:pStyle w:val="Footer"/>
            <w:tabs>
              <w:tab w:val="clear" w:pos="8640"/>
              <w:tab w:val="right" w:pos="9360"/>
            </w:tabs>
            <w:jc w:val="right"/>
          </w:pPr>
        </w:p>
      </w:tc>
    </w:tr>
    <w:tr w:rsidR="00242ABF" w:rsidTr="009C1E9A">
      <w:trPr>
        <w:cantSplit/>
      </w:trPr>
      <w:tc>
        <w:tcPr>
          <w:tcW w:w="0" w:type="pct"/>
        </w:tcPr>
        <w:p w:rsidR="00EC379B" w:rsidRDefault="00BC3912" w:rsidP="009C1E9A">
          <w:pPr>
            <w:pStyle w:val="Footer"/>
            <w:tabs>
              <w:tab w:val="clear" w:pos="8640"/>
              <w:tab w:val="right" w:pos="9360"/>
            </w:tabs>
          </w:pPr>
        </w:p>
      </w:tc>
      <w:tc>
        <w:tcPr>
          <w:tcW w:w="2395" w:type="pct"/>
        </w:tcPr>
        <w:p w:rsidR="00EC379B" w:rsidRPr="009C1E9A" w:rsidRDefault="00BC3912" w:rsidP="009C1E9A">
          <w:pPr>
            <w:pStyle w:val="Footer"/>
            <w:tabs>
              <w:tab w:val="clear" w:pos="8640"/>
              <w:tab w:val="right" w:pos="9360"/>
            </w:tabs>
            <w:rPr>
              <w:rFonts w:ascii="Shruti" w:hAnsi="Shruti"/>
              <w:sz w:val="22"/>
            </w:rPr>
          </w:pPr>
          <w:r>
            <w:rPr>
              <w:rFonts w:ascii="Shruti" w:hAnsi="Shruti"/>
              <w:sz w:val="22"/>
            </w:rPr>
            <w:t>85R 26585</w:t>
          </w:r>
        </w:p>
      </w:tc>
      <w:tc>
        <w:tcPr>
          <w:tcW w:w="2453" w:type="pct"/>
        </w:tcPr>
        <w:p w:rsidR="00EC379B" w:rsidRDefault="00BC3912" w:rsidP="009C1E9A">
          <w:pPr>
            <w:pStyle w:val="Footer"/>
            <w:tabs>
              <w:tab w:val="clear" w:pos="8640"/>
              <w:tab w:val="right" w:pos="9360"/>
            </w:tabs>
            <w:jc w:val="right"/>
          </w:pPr>
          <w:r>
            <w:fldChar w:fldCharType="begin"/>
          </w:r>
          <w:r>
            <w:instrText xml:space="preserve"> DOCPROPERTY  OTID  \* MERGEFORMAT </w:instrText>
          </w:r>
          <w:r>
            <w:fldChar w:fldCharType="separate"/>
          </w:r>
          <w:r>
            <w:t>17.121.311</w:t>
          </w:r>
          <w:r>
            <w:fldChar w:fldCharType="end"/>
          </w:r>
        </w:p>
      </w:tc>
    </w:tr>
    <w:tr w:rsidR="00242ABF" w:rsidTr="009C1E9A">
      <w:trPr>
        <w:cantSplit/>
      </w:trPr>
      <w:tc>
        <w:tcPr>
          <w:tcW w:w="0" w:type="pct"/>
        </w:tcPr>
        <w:p w:rsidR="00EC379B" w:rsidRDefault="00BC3912" w:rsidP="009C1E9A">
          <w:pPr>
            <w:pStyle w:val="Footer"/>
            <w:tabs>
              <w:tab w:val="clear" w:pos="4320"/>
              <w:tab w:val="clear" w:pos="8640"/>
              <w:tab w:val="left" w:pos="2865"/>
            </w:tabs>
          </w:pPr>
        </w:p>
      </w:tc>
      <w:tc>
        <w:tcPr>
          <w:tcW w:w="2395" w:type="pct"/>
        </w:tcPr>
        <w:p w:rsidR="00EC379B" w:rsidRPr="009C1E9A" w:rsidRDefault="00BC3912" w:rsidP="009C1E9A">
          <w:pPr>
            <w:pStyle w:val="Footer"/>
            <w:tabs>
              <w:tab w:val="clear" w:pos="4320"/>
              <w:tab w:val="clear" w:pos="8640"/>
              <w:tab w:val="left" w:pos="2865"/>
            </w:tabs>
            <w:rPr>
              <w:rFonts w:ascii="Shruti" w:hAnsi="Shruti"/>
              <w:sz w:val="22"/>
            </w:rPr>
          </w:pPr>
        </w:p>
      </w:tc>
      <w:tc>
        <w:tcPr>
          <w:tcW w:w="2453" w:type="pct"/>
        </w:tcPr>
        <w:p w:rsidR="00EC379B" w:rsidRDefault="00BC3912" w:rsidP="006D504F">
          <w:pPr>
            <w:pStyle w:val="Footer"/>
            <w:rPr>
              <w:rStyle w:val="PageNumber"/>
            </w:rPr>
          </w:pPr>
        </w:p>
        <w:p w:rsidR="00EC379B" w:rsidRDefault="00BC3912" w:rsidP="009C1E9A">
          <w:pPr>
            <w:pStyle w:val="Footer"/>
            <w:tabs>
              <w:tab w:val="clear" w:pos="8640"/>
              <w:tab w:val="right" w:pos="9360"/>
            </w:tabs>
            <w:jc w:val="right"/>
          </w:pPr>
        </w:p>
      </w:tc>
    </w:tr>
    <w:tr w:rsidR="00242ABF" w:rsidTr="009C1E9A">
      <w:trPr>
        <w:cantSplit/>
        <w:trHeight w:val="323"/>
      </w:trPr>
      <w:tc>
        <w:tcPr>
          <w:tcW w:w="0" w:type="pct"/>
          <w:gridSpan w:val="3"/>
        </w:tcPr>
        <w:p w:rsidR="00EC379B" w:rsidRDefault="00BC391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C3912" w:rsidP="009C1E9A">
          <w:pPr>
            <w:pStyle w:val="Footer"/>
            <w:tabs>
              <w:tab w:val="clear" w:pos="8640"/>
              <w:tab w:val="right" w:pos="9360"/>
            </w:tabs>
            <w:jc w:val="center"/>
          </w:pPr>
        </w:p>
      </w:tc>
    </w:tr>
  </w:tbl>
  <w:p w:rsidR="00EC379B" w:rsidRPr="00FF6F72" w:rsidRDefault="00BC391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C3912">
      <w:r>
        <w:separator/>
      </w:r>
    </w:p>
  </w:footnote>
  <w:footnote w:type="continuationSeparator" w:id="0">
    <w:p w:rsidR="00000000" w:rsidRDefault="00BC3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BF"/>
    <w:rsid w:val="00242ABF"/>
    <w:rsid w:val="00BC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23698"/>
    <w:rPr>
      <w:sz w:val="16"/>
      <w:szCs w:val="16"/>
    </w:rPr>
  </w:style>
  <w:style w:type="paragraph" w:styleId="CommentText">
    <w:name w:val="annotation text"/>
    <w:basedOn w:val="Normal"/>
    <w:link w:val="CommentTextChar"/>
    <w:rsid w:val="00B23698"/>
    <w:rPr>
      <w:sz w:val="20"/>
      <w:szCs w:val="20"/>
    </w:rPr>
  </w:style>
  <w:style w:type="character" w:customStyle="1" w:styleId="CommentTextChar">
    <w:name w:val="Comment Text Char"/>
    <w:basedOn w:val="DefaultParagraphFont"/>
    <w:link w:val="CommentText"/>
    <w:rsid w:val="00B23698"/>
  </w:style>
  <w:style w:type="paragraph" w:styleId="CommentSubject">
    <w:name w:val="annotation subject"/>
    <w:basedOn w:val="CommentText"/>
    <w:next w:val="CommentText"/>
    <w:link w:val="CommentSubjectChar"/>
    <w:rsid w:val="00B23698"/>
    <w:rPr>
      <w:b/>
      <w:bCs/>
    </w:rPr>
  </w:style>
  <w:style w:type="character" w:customStyle="1" w:styleId="CommentSubjectChar">
    <w:name w:val="Comment Subject Char"/>
    <w:basedOn w:val="CommentTextChar"/>
    <w:link w:val="CommentSubject"/>
    <w:rsid w:val="00B23698"/>
    <w:rPr>
      <w:b/>
      <w:bCs/>
    </w:rPr>
  </w:style>
  <w:style w:type="character" w:styleId="Hyperlink">
    <w:name w:val="Hyperlink"/>
    <w:basedOn w:val="DefaultParagraphFont"/>
    <w:rsid w:val="009951A4"/>
    <w:rPr>
      <w:color w:val="0000FF" w:themeColor="hyperlink"/>
      <w:u w:val="single"/>
    </w:rPr>
  </w:style>
  <w:style w:type="character" w:styleId="FollowedHyperlink">
    <w:name w:val="FollowedHyperlink"/>
    <w:basedOn w:val="DefaultParagraphFont"/>
    <w:rsid w:val="000B17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23698"/>
    <w:rPr>
      <w:sz w:val="16"/>
      <w:szCs w:val="16"/>
    </w:rPr>
  </w:style>
  <w:style w:type="paragraph" w:styleId="CommentText">
    <w:name w:val="annotation text"/>
    <w:basedOn w:val="Normal"/>
    <w:link w:val="CommentTextChar"/>
    <w:rsid w:val="00B23698"/>
    <w:rPr>
      <w:sz w:val="20"/>
      <w:szCs w:val="20"/>
    </w:rPr>
  </w:style>
  <w:style w:type="character" w:customStyle="1" w:styleId="CommentTextChar">
    <w:name w:val="Comment Text Char"/>
    <w:basedOn w:val="DefaultParagraphFont"/>
    <w:link w:val="CommentText"/>
    <w:rsid w:val="00B23698"/>
  </w:style>
  <w:style w:type="paragraph" w:styleId="CommentSubject">
    <w:name w:val="annotation subject"/>
    <w:basedOn w:val="CommentText"/>
    <w:next w:val="CommentText"/>
    <w:link w:val="CommentSubjectChar"/>
    <w:rsid w:val="00B23698"/>
    <w:rPr>
      <w:b/>
      <w:bCs/>
    </w:rPr>
  </w:style>
  <w:style w:type="character" w:customStyle="1" w:styleId="CommentSubjectChar">
    <w:name w:val="Comment Subject Char"/>
    <w:basedOn w:val="CommentTextChar"/>
    <w:link w:val="CommentSubject"/>
    <w:rsid w:val="00B23698"/>
    <w:rPr>
      <w:b/>
      <w:bCs/>
    </w:rPr>
  </w:style>
  <w:style w:type="character" w:styleId="Hyperlink">
    <w:name w:val="Hyperlink"/>
    <w:basedOn w:val="DefaultParagraphFont"/>
    <w:rsid w:val="009951A4"/>
    <w:rPr>
      <w:color w:val="0000FF" w:themeColor="hyperlink"/>
      <w:u w:val="single"/>
    </w:rPr>
  </w:style>
  <w:style w:type="character" w:styleId="FollowedHyperlink">
    <w:name w:val="FollowedHyperlink"/>
    <w:basedOn w:val="DefaultParagraphFont"/>
    <w:rsid w:val="000B17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2014</Characters>
  <Application>Microsoft Office Word</Application>
  <DocSecurity>4</DocSecurity>
  <Lines>52</Lines>
  <Paragraphs>15</Paragraphs>
  <ScaleCrop>false</ScaleCrop>
  <HeadingPairs>
    <vt:vector size="2" baseType="variant">
      <vt:variant>
        <vt:lpstr>Title</vt:lpstr>
      </vt:variant>
      <vt:variant>
        <vt:i4>1</vt:i4>
      </vt:variant>
    </vt:vector>
  </HeadingPairs>
  <TitlesOfParts>
    <vt:vector size="1" baseType="lpstr">
      <vt:lpstr>BA - HB04329 (Committee Report (Unamended))</vt:lpstr>
    </vt:vector>
  </TitlesOfParts>
  <Company>State of Texas</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26585</dc:subject>
  <dc:creator>State of Texas</dc:creator>
  <dc:description>HB 4329 by Workman-(H)Special Purpose Districts</dc:description>
  <cp:lastModifiedBy>Brianna Weis</cp:lastModifiedBy>
  <cp:revision>2</cp:revision>
  <cp:lastPrinted>2017-05-01T22:49:00Z</cp:lastPrinted>
  <dcterms:created xsi:type="dcterms:W3CDTF">2017-05-09T01:10:00Z</dcterms:created>
  <dcterms:modified xsi:type="dcterms:W3CDTF">2017-05-09T01:10:00Z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17.121.311</vt:lpwstr>
  </property>
</Properties>
</file>