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E0" w:rsidRDefault="00EC39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EBDC1B7E5E43AC94E36F426CBC2C7B"/>
          </w:placeholder>
        </w:sdtPr>
        <w:sdtContent>
          <w:r w:rsidRPr="005C2A78">
            <w:rPr>
              <w:rFonts w:cs="Times New Roman"/>
              <w:b/>
              <w:szCs w:val="24"/>
              <w:u w:val="single"/>
            </w:rPr>
            <w:t>BILL ANALYSIS</w:t>
          </w:r>
        </w:sdtContent>
      </w:sdt>
    </w:p>
    <w:p w:rsidR="00EC39E0" w:rsidRPr="00585C31" w:rsidRDefault="00EC39E0" w:rsidP="000F1DF9">
      <w:pPr>
        <w:spacing w:after="0" w:line="240" w:lineRule="auto"/>
        <w:rPr>
          <w:rFonts w:cs="Times New Roman"/>
          <w:szCs w:val="24"/>
        </w:rPr>
      </w:pPr>
    </w:p>
    <w:p w:rsidR="00EC39E0" w:rsidRPr="00585C31" w:rsidRDefault="00EC39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39E0" w:rsidTr="000F1DF9">
        <w:tc>
          <w:tcPr>
            <w:tcW w:w="2718" w:type="dxa"/>
          </w:tcPr>
          <w:p w:rsidR="00EC39E0" w:rsidRPr="005C2A78" w:rsidRDefault="00EC39E0" w:rsidP="006D756B">
            <w:pPr>
              <w:rPr>
                <w:rFonts w:cs="Times New Roman"/>
                <w:szCs w:val="24"/>
              </w:rPr>
            </w:pPr>
            <w:sdt>
              <w:sdtPr>
                <w:rPr>
                  <w:rFonts w:cs="Times New Roman"/>
                  <w:szCs w:val="24"/>
                </w:rPr>
                <w:alias w:val="Agency Title"/>
                <w:tag w:val="AgencyTitleContentControl"/>
                <w:id w:val="1920747753"/>
                <w:lock w:val="sdtContentLocked"/>
                <w:placeholder>
                  <w:docPart w:val="CC4A99F49B864E1BA4F0156256F2B660"/>
                </w:placeholder>
              </w:sdtPr>
              <w:sdtEndPr>
                <w:rPr>
                  <w:rFonts w:cstheme="minorBidi"/>
                  <w:szCs w:val="22"/>
                </w:rPr>
              </w:sdtEndPr>
              <w:sdtContent>
                <w:r>
                  <w:rPr>
                    <w:rFonts w:cs="Times New Roman"/>
                    <w:szCs w:val="24"/>
                  </w:rPr>
                  <w:t>Senate Research Center</w:t>
                </w:r>
              </w:sdtContent>
            </w:sdt>
          </w:p>
        </w:tc>
        <w:tc>
          <w:tcPr>
            <w:tcW w:w="6858" w:type="dxa"/>
          </w:tcPr>
          <w:p w:rsidR="00EC39E0" w:rsidRPr="00FF6471" w:rsidRDefault="00EC39E0" w:rsidP="000F1DF9">
            <w:pPr>
              <w:jc w:val="right"/>
              <w:rPr>
                <w:rFonts w:cs="Times New Roman"/>
                <w:szCs w:val="24"/>
              </w:rPr>
            </w:pPr>
            <w:sdt>
              <w:sdtPr>
                <w:rPr>
                  <w:rFonts w:cs="Times New Roman"/>
                  <w:szCs w:val="24"/>
                </w:rPr>
                <w:alias w:val="Bill Number"/>
                <w:tag w:val="BillNumberOne"/>
                <w:id w:val="-410784069"/>
                <w:lock w:val="sdtContentLocked"/>
                <w:placeholder>
                  <w:docPart w:val="EB9B1B82249C428E85F1EF8C3A7B0332"/>
                </w:placeholder>
              </w:sdtPr>
              <w:sdtContent>
                <w:r>
                  <w:rPr>
                    <w:rFonts w:cs="Times New Roman"/>
                    <w:szCs w:val="24"/>
                  </w:rPr>
                  <w:t>S.B. 39</w:t>
                </w:r>
              </w:sdtContent>
            </w:sdt>
          </w:p>
        </w:tc>
      </w:tr>
      <w:tr w:rsidR="00EC39E0" w:rsidTr="000F1DF9">
        <w:sdt>
          <w:sdtPr>
            <w:rPr>
              <w:rFonts w:cs="Times New Roman"/>
              <w:szCs w:val="24"/>
            </w:rPr>
            <w:alias w:val="TLCNumber"/>
            <w:tag w:val="TLCNumber"/>
            <w:id w:val="-542600604"/>
            <w:lock w:val="sdtLocked"/>
            <w:placeholder>
              <w:docPart w:val="8DD2927CE6284E61857E88747EF6E4B1"/>
            </w:placeholder>
            <w:showingPlcHdr/>
          </w:sdtPr>
          <w:sdtContent>
            <w:tc>
              <w:tcPr>
                <w:tcW w:w="2718" w:type="dxa"/>
              </w:tcPr>
              <w:p w:rsidR="00EC39E0" w:rsidRPr="000F1DF9" w:rsidRDefault="00EC39E0" w:rsidP="00C65088">
                <w:pPr>
                  <w:rPr>
                    <w:rFonts w:cs="Times New Roman"/>
                    <w:szCs w:val="24"/>
                  </w:rPr>
                </w:pPr>
              </w:p>
            </w:tc>
          </w:sdtContent>
        </w:sdt>
        <w:tc>
          <w:tcPr>
            <w:tcW w:w="6858" w:type="dxa"/>
          </w:tcPr>
          <w:p w:rsidR="00EC39E0" w:rsidRPr="005C2A78" w:rsidRDefault="00EC39E0" w:rsidP="006D756B">
            <w:pPr>
              <w:jc w:val="right"/>
              <w:rPr>
                <w:rFonts w:cs="Times New Roman"/>
                <w:szCs w:val="24"/>
              </w:rPr>
            </w:pPr>
            <w:sdt>
              <w:sdtPr>
                <w:rPr>
                  <w:rFonts w:cs="Times New Roman"/>
                  <w:szCs w:val="24"/>
                </w:rPr>
                <w:alias w:val="Author Label"/>
                <w:tag w:val="By"/>
                <w:id w:val="72399597"/>
                <w:lock w:val="sdtLocked"/>
                <w:placeholder>
                  <w:docPart w:val="3A2440C13C6F49C9860F8ECD93872F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AABC5964EA4CCE9A6647495807995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A6375B80E9A41B6AD73279B85ABAA86"/>
                </w:placeholder>
                <w:showingPlcHdr/>
              </w:sdtPr>
              <w:sdtContent/>
            </w:sdt>
          </w:p>
        </w:tc>
      </w:tr>
      <w:tr w:rsidR="00EC39E0" w:rsidTr="000F1DF9">
        <w:tc>
          <w:tcPr>
            <w:tcW w:w="2718" w:type="dxa"/>
          </w:tcPr>
          <w:p w:rsidR="00EC39E0" w:rsidRPr="00BC7495" w:rsidRDefault="00EC39E0" w:rsidP="000F1DF9">
            <w:pPr>
              <w:rPr>
                <w:rFonts w:cs="Times New Roman"/>
                <w:szCs w:val="24"/>
              </w:rPr>
            </w:pPr>
          </w:p>
        </w:tc>
        <w:sdt>
          <w:sdtPr>
            <w:rPr>
              <w:rFonts w:cs="Times New Roman"/>
              <w:szCs w:val="24"/>
            </w:rPr>
            <w:alias w:val="Committee"/>
            <w:tag w:val="Committee"/>
            <w:id w:val="1914272295"/>
            <w:lock w:val="sdtContentLocked"/>
            <w:placeholder>
              <w:docPart w:val="F7BA2E69B265493F91005079679BFF07"/>
            </w:placeholder>
          </w:sdtPr>
          <w:sdtContent>
            <w:tc>
              <w:tcPr>
                <w:tcW w:w="6858" w:type="dxa"/>
              </w:tcPr>
              <w:p w:rsidR="00EC39E0" w:rsidRPr="00FF6471" w:rsidRDefault="00EC39E0" w:rsidP="000F1DF9">
                <w:pPr>
                  <w:jc w:val="right"/>
                  <w:rPr>
                    <w:rFonts w:cs="Times New Roman"/>
                    <w:szCs w:val="24"/>
                  </w:rPr>
                </w:pPr>
                <w:r>
                  <w:rPr>
                    <w:rFonts w:cs="Times New Roman"/>
                    <w:szCs w:val="24"/>
                  </w:rPr>
                  <w:t>State Affairs</w:t>
                </w:r>
              </w:p>
            </w:tc>
          </w:sdtContent>
        </w:sdt>
      </w:tr>
      <w:tr w:rsidR="00EC39E0" w:rsidTr="000F1DF9">
        <w:tc>
          <w:tcPr>
            <w:tcW w:w="2718" w:type="dxa"/>
          </w:tcPr>
          <w:p w:rsidR="00EC39E0" w:rsidRPr="00BC7495" w:rsidRDefault="00EC39E0" w:rsidP="000F1DF9">
            <w:pPr>
              <w:rPr>
                <w:rFonts w:cs="Times New Roman"/>
                <w:szCs w:val="24"/>
              </w:rPr>
            </w:pPr>
          </w:p>
        </w:tc>
        <w:sdt>
          <w:sdtPr>
            <w:rPr>
              <w:rFonts w:cs="Times New Roman"/>
              <w:szCs w:val="24"/>
            </w:rPr>
            <w:alias w:val="Date"/>
            <w:tag w:val="DateContentControl"/>
            <w:id w:val="1178081906"/>
            <w:lock w:val="sdtLocked"/>
            <w:placeholder>
              <w:docPart w:val="3D188F4973CD4822BD5D1534D2D46EC5"/>
            </w:placeholder>
            <w:date w:fullDate="2017-03-21T00:00:00Z">
              <w:dateFormat w:val="M/d/yyyy"/>
              <w:lid w:val="en-US"/>
              <w:storeMappedDataAs w:val="dateTime"/>
              <w:calendar w:val="gregorian"/>
            </w:date>
          </w:sdtPr>
          <w:sdtContent>
            <w:tc>
              <w:tcPr>
                <w:tcW w:w="6858" w:type="dxa"/>
              </w:tcPr>
              <w:p w:rsidR="00EC39E0" w:rsidRPr="00FF6471" w:rsidRDefault="00EC39E0" w:rsidP="000F1DF9">
                <w:pPr>
                  <w:jc w:val="right"/>
                  <w:rPr>
                    <w:rFonts w:cs="Times New Roman"/>
                    <w:szCs w:val="24"/>
                  </w:rPr>
                </w:pPr>
                <w:r>
                  <w:rPr>
                    <w:rFonts w:cs="Times New Roman"/>
                    <w:szCs w:val="24"/>
                  </w:rPr>
                  <w:t>3/21/2017</w:t>
                </w:r>
              </w:p>
            </w:tc>
          </w:sdtContent>
        </w:sdt>
      </w:tr>
      <w:tr w:rsidR="00EC39E0" w:rsidTr="000F1DF9">
        <w:tc>
          <w:tcPr>
            <w:tcW w:w="2718" w:type="dxa"/>
          </w:tcPr>
          <w:p w:rsidR="00EC39E0" w:rsidRPr="00BC7495" w:rsidRDefault="00EC39E0" w:rsidP="000F1DF9">
            <w:pPr>
              <w:rPr>
                <w:rFonts w:cs="Times New Roman"/>
                <w:szCs w:val="24"/>
              </w:rPr>
            </w:pPr>
          </w:p>
        </w:tc>
        <w:sdt>
          <w:sdtPr>
            <w:rPr>
              <w:rFonts w:cs="Times New Roman"/>
              <w:szCs w:val="24"/>
            </w:rPr>
            <w:alias w:val="BA Version"/>
            <w:tag w:val="BAVersion"/>
            <w:id w:val="-1685590809"/>
            <w:lock w:val="sdtContentLocked"/>
            <w:placeholder>
              <w:docPart w:val="AE182D2B140047E09787965EC80615FD"/>
            </w:placeholder>
          </w:sdtPr>
          <w:sdtContent>
            <w:tc>
              <w:tcPr>
                <w:tcW w:w="6858" w:type="dxa"/>
              </w:tcPr>
              <w:p w:rsidR="00EC39E0" w:rsidRPr="00FF6471" w:rsidRDefault="00EC39E0" w:rsidP="000F1DF9">
                <w:pPr>
                  <w:jc w:val="right"/>
                  <w:rPr>
                    <w:rFonts w:cs="Times New Roman"/>
                    <w:szCs w:val="24"/>
                  </w:rPr>
                </w:pPr>
                <w:r>
                  <w:rPr>
                    <w:rFonts w:cs="Times New Roman"/>
                    <w:szCs w:val="24"/>
                  </w:rPr>
                  <w:t>As Filed</w:t>
                </w:r>
              </w:p>
            </w:tc>
          </w:sdtContent>
        </w:sdt>
      </w:tr>
    </w:tbl>
    <w:p w:rsidR="00EC39E0" w:rsidRPr="00FF6471" w:rsidRDefault="00EC39E0" w:rsidP="000F1DF9">
      <w:pPr>
        <w:spacing w:after="0" w:line="240" w:lineRule="auto"/>
        <w:rPr>
          <w:rFonts w:cs="Times New Roman"/>
          <w:szCs w:val="24"/>
        </w:rPr>
      </w:pPr>
    </w:p>
    <w:p w:rsidR="00EC39E0" w:rsidRPr="00FF6471" w:rsidRDefault="00EC39E0" w:rsidP="000F1DF9">
      <w:pPr>
        <w:spacing w:after="0" w:line="240" w:lineRule="auto"/>
        <w:rPr>
          <w:rFonts w:cs="Times New Roman"/>
          <w:szCs w:val="24"/>
        </w:rPr>
      </w:pPr>
    </w:p>
    <w:p w:rsidR="00EC39E0" w:rsidRPr="00FF6471" w:rsidRDefault="00EC39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CE63B7FC2B45849A706A1BEA759A89"/>
        </w:placeholder>
      </w:sdtPr>
      <w:sdtContent>
        <w:p w:rsidR="00EC39E0" w:rsidRDefault="00EC39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AA7CE330B442F4A88DF0346EF62DE9"/>
        </w:placeholder>
      </w:sdtPr>
      <w:sdtContent>
        <w:p w:rsidR="00EC39E0" w:rsidRDefault="00EC39E0" w:rsidP="00DE3315">
          <w:pPr>
            <w:pStyle w:val="NormalWeb"/>
            <w:spacing w:before="0" w:beforeAutospacing="0" w:after="0" w:afterAutospacing="0"/>
            <w:jc w:val="both"/>
            <w:divId w:val="1351566167"/>
            <w:rPr>
              <w:rFonts w:eastAsia="Times New Roman"/>
              <w:bCs/>
            </w:rPr>
          </w:pPr>
        </w:p>
        <w:p w:rsidR="00EC39E0" w:rsidRDefault="00EC39E0" w:rsidP="00DE3315">
          <w:pPr>
            <w:pStyle w:val="NormalWeb"/>
            <w:spacing w:before="0" w:beforeAutospacing="0" w:after="0" w:afterAutospacing="0"/>
            <w:jc w:val="both"/>
            <w:divId w:val="1351566167"/>
            <w:rPr>
              <w:color w:val="000000"/>
            </w:rPr>
          </w:pPr>
          <w:r w:rsidRPr="002D1F23">
            <w:rPr>
              <w:color w:val="000000"/>
            </w:rPr>
            <w:t>S</w:t>
          </w:r>
          <w:r>
            <w:rPr>
              <w:color w:val="000000"/>
            </w:rPr>
            <w:t>.</w:t>
          </w:r>
          <w:r w:rsidRPr="002D1F23">
            <w:rPr>
              <w:color w:val="000000"/>
            </w:rPr>
            <w:t>B</w:t>
          </w:r>
          <w:r>
            <w:rPr>
              <w:color w:val="000000"/>
            </w:rPr>
            <w:t>.</w:t>
          </w:r>
          <w:r w:rsidRPr="002D1F23">
            <w:rPr>
              <w:color w:val="000000"/>
            </w:rPr>
            <w:t xml:space="preserve"> 39 is an omnibus guardianship bill prepared by </w:t>
          </w:r>
          <w:r>
            <w:rPr>
              <w:color w:val="000000"/>
            </w:rPr>
            <w:t xml:space="preserve">the </w:t>
          </w:r>
          <w:r w:rsidRPr="002D1F23">
            <w:rPr>
              <w:color w:val="000000"/>
            </w:rPr>
            <w:t>Real Estate</w:t>
          </w:r>
          <w:r>
            <w:rPr>
              <w:color w:val="000000"/>
            </w:rPr>
            <w:t xml:space="preserve"> Probate and Trust Law (REPTL) s</w:t>
          </w:r>
          <w:r w:rsidRPr="002D1F23">
            <w:rPr>
              <w:color w:val="000000"/>
            </w:rPr>
            <w:t>ection of the Texas Bar. Specifically, S</w:t>
          </w:r>
          <w:r>
            <w:rPr>
              <w:color w:val="000000"/>
            </w:rPr>
            <w:t>.</w:t>
          </w:r>
          <w:r w:rsidRPr="002D1F23">
            <w:rPr>
              <w:color w:val="000000"/>
            </w:rPr>
            <w:t>B</w:t>
          </w:r>
          <w:r>
            <w:rPr>
              <w:color w:val="000000"/>
            </w:rPr>
            <w:t>.</w:t>
          </w:r>
          <w:r w:rsidRPr="002D1F23">
            <w:rPr>
              <w:color w:val="000000"/>
            </w:rPr>
            <w:t xml:space="preserve"> 39 </w:t>
          </w:r>
          <w:r>
            <w:rPr>
              <w:color w:val="000000"/>
            </w:rPr>
            <w:t>clarifies</w:t>
          </w:r>
          <w:r w:rsidRPr="002D1F23">
            <w:rPr>
              <w:color w:val="000000"/>
            </w:rPr>
            <w:t xml:space="preserve"> that children and siblings do not need court permission to intervene in guardianship cases involving their loved ones. This </w:t>
          </w:r>
          <w:r>
            <w:rPr>
              <w:color w:val="000000"/>
            </w:rPr>
            <w:t xml:space="preserve">ensures </w:t>
          </w:r>
          <w:r w:rsidRPr="002D1F23">
            <w:rPr>
              <w:color w:val="000000"/>
            </w:rPr>
            <w:t>that these immediate family members have an opportunity to state their position in court.</w:t>
          </w:r>
        </w:p>
        <w:p w:rsidR="00EC39E0" w:rsidRPr="002D1F23" w:rsidRDefault="00EC39E0" w:rsidP="00DE3315">
          <w:pPr>
            <w:pStyle w:val="NormalWeb"/>
            <w:spacing w:before="0" w:beforeAutospacing="0" w:after="0" w:afterAutospacing="0"/>
            <w:jc w:val="both"/>
            <w:divId w:val="1351566167"/>
            <w:rPr>
              <w:color w:val="000000"/>
            </w:rPr>
          </w:pPr>
          <w:r w:rsidRPr="002D1F23">
            <w:rPr>
              <w:color w:val="000000"/>
            </w:rPr>
            <w:t xml:space="preserve"> </w:t>
          </w:r>
        </w:p>
        <w:p w:rsidR="00EC39E0" w:rsidRDefault="00EC39E0" w:rsidP="00DE3315">
          <w:pPr>
            <w:pStyle w:val="NormalWeb"/>
            <w:spacing w:before="0" w:beforeAutospacing="0" w:after="0" w:afterAutospacing="0"/>
            <w:jc w:val="both"/>
            <w:divId w:val="1351566167"/>
            <w:rPr>
              <w:color w:val="000000"/>
            </w:rPr>
          </w:pPr>
          <w:r w:rsidRPr="002D1F23">
            <w:rPr>
              <w:color w:val="000000"/>
            </w:rPr>
            <w:t>S</w:t>
          </w:r>
          <w:r>
            <w:rPr>
              <w:color w:val="000000"/>
            </w:rPr>
            <w:t>.</w:t>
          </w:r>
          <w:r w:rsidRPr="002D1F23">
            <w:rPr>
              <w:color w:val="000000"/>
            </w:rPr>
            <w:t>B</w:t>
          </w:r>
          <w:r>
            <w:rPr>
              <w:color w:val="000000"/>
            </w:rPr>
            <w:t>.</w:t>
          </w:r>
          <w:r w:rsidRPr="002D1F23">
            <w:rPr>
              <w:color w:val="000000"/>
            </w:rPr>
            <w:t xml:space="preserve"> 39 also </w:t>
          </w:r>
          <w:r>
            <w:rPr>
              <w:color w:val="000000"/>
            </w:rPr>
            <w:t>allows</w:t>
          </w:r>
          <w:r w:rsidRPr="002D1F23">
            <w:rPr>
              <w:color w:val="000000"/>
            </w:rPr>
            <w:t xml:space="preserve"> an application for guardianship to omit the address of any person who was ever protected by a protective order, as opposed to just a person who is protected at the time the application is filed. This </w:t>
          </w:r>
          <w:r>
            <w:rPr>
              <w:color w:val="000000"/>
            </w:rPr>
            <w:t>expands</w:t>
          </w:r>
          <w:r w:rsidRPr="002D1F23">
            <w:rPr>
              <w:color w:val="000000"/>
            </w:rPr>
            <w:t xml:space="preserve"> this privacy protection to a greater number of at-risk Texans. </w:t>
          </w:r>
        </w:p>
        <w:p w:rsidR="00EC39E0" w:rsidRPr="002D1F23" w:rsidRDefault="00EC39E0" w:rsidP="00DE3315">
          <w:pPr>
            <w:pStyle w:val="NormalWeb"/>
            <w:spacing w:before="0" w:beforeAutospacing="0" w:after="0" w:afterAutospacing="0"/>
            <w:jc w:val="both"/>
            <w:divId w:val="1351566167"/>
            <w:rPr>
              <w:color w:val="000000"/>
            </w:rPr>
          </w:pPr>
        </w:p>
        <w:p w:rsidR="00EC39E0" w:rsidRDefault="00EC39E0" w:rsidP="00DE3315">
          <w:pPr>
            <w:pStyle w:val="NormalWeb"/>
            <w:spacing w:before="0" w:beforeAutospacing="0" w:after="0" w:afterAutospacing="0"/>
            <w:jc w:val="both"/>
            <w:divId w:val="1351566167"/>
            <w:rPr>
              <w:color w:val="000000"/>
            </w:rPr>
          </w:pPr>
          <w:r>
            <w:rPr>
              <w:color w:val="000000"/>
            </w:rPr>
            <w:t>What’</w:t>
          </w:r>
          <w:r w:rsidRPr="002D1F23">
            <w:rPr>
              <w:color w:val="000000"/>
            </w:rPr>
            <w:t>s more, S</w:t>
          </w:r>
          <w:r>
            <w:rPr>
              <w:color w:val="000000"/>
            </w:rPr>
            <w:t>.</w:t>
          </w:r>
          <w:r w:rsidRPr="002D1F23">
            <w:rPr>
              <w:color w:val="000000"/>
            </w:rPr>
            <w:t>B</w:t>
          </w:r>
          <w:r>
            <w:rPr>
              <w:color w:val="000000"/>
            </w:rPr>
            <w:t>.</w:t>
          </w:r>
          <w:r w:rsidRPr="002D1F23">
            <w:rPr>
              <w:color w:val="000000"/>
            </w:rPr>
            <w:t xml:space="preserve"> 39 </w:t>
          </w:r>
          <w:r>
            <w:rPr>
              <w:color w:val="000000"/>
            </w:rPr>
            <w:t>codifies</w:t>
          </w:r>
          <w:r w:rsidRPr="002D1F23">
            <w:rPr>
              <w:color w:val="000000"/>
            </w:rPr>
            <w:t xml:space="preserve"> the duties of a supporter under a supported decision-making agreement (SDMA), including the duties to act in good faith and to avoid conflicts of interest. This clarity regarding responsibilities under SDMAs would encourage more persons to use this tool. </w:t>
          </w:r>
        </w:p>
        <w:p w:rsidR="00EC39E0" w:rsidRPr="002D1F23" w:rsidRDefault="00EC39E0" w:rsidP="00DE3315">
          <w:pPr>
            <w:pStyle w:val="NormalWeb"/>
            <w:spacing w:before="0" w:beforeAutospacing="0" w:after="0" w:afterAutospacing="0"/>
            <w:jc w:val="both"/>
            <w:divId w:val="1351566167"/>
            <w:rPr>
              <w:color w:val="000000"/>
            </w:rPr>
          </w:pPr>
        </w:p>
        <w:p w:rsidR="00EC39E0" w:rsidRDefault="00EC39E0" w:rsidP="00DE3315">
          <w:pPr>
            <w:pStyle w:val="NormalWeb"/>
            <w:spacing w:before="0" w:beforeAutospacing="0" w:after="0" w:afterAutospacing="0"/>
            <w:jc w:val="both"/>
            <w:divId w:val="1351566167"/>
            <w:rPr>
              <w:color w:val="000000"/>
            </w:rPr>
          </w:pPr>
          <w:r w:rsidRPr="002D1F23">
            <w:rPr>
              <w:color w:val="000000"/>
            </w:rPr>
            <w:t>S</w:t>
          </w:r>
          <w:r>
            <w:rPr>
              <w:color w:val="000000"/>
            </w:rPr>
            <w:t>.</w:t>
          </w:r>
          <w:r w:rsidRPr="002D1F23">
            <w:rPr>
              <w:color w:val="000000"/>
            </w:rPr>
            <w:t>B</w:t>
          </w:r>
          <w:r>
            <w:rPr>
              <w:color w:val="000000"/>
            </w:rPr>
            <w:t>.</w:t>
          </w:r>
          <w:r w:rsidRPr="002D1F23">
            <w:rPr>
              <w:color w:val="000000"/>
            </w:rPr>
            <w:t xml:space="preserve"> 39 </w:t>
          </w:r>
          <w:r>
            <w:rPr>
              <w:color w:val="000000"/>
            </w:rPr>
            <w:t>clarifies</w:t>
          </w:r>
          <w:r w:rsidRPr="002D1F23">
            <w:rPr>
              <w:color w:val="000000"/>
            </w:rPr>
            <w:t xml:space="preserve"> that a named designated successor agent in a power of attorney (POA) has authority to act after a named attorney-in-fact has b</w:t>
          </w:r>
          <w:r>
            <w:rPr>
              <w:color w:val="000000"/>
            </w:rPr>
            <w:t>een removed by the court. What’</w:t>
          </w:r>
          <w:r w:rsidRPr="002D1F23">
            <w:rPr>
              <w:color w:val="000000"/>
            </w:rPr>
            <w:t xml:space="preserve">s more, this bill </w:t>
          </w:r>
          <w:r>
            <w:rPr>
              <w:color w:val="000000"/>
            </w:rPr>
            <w:t>allows</w:t>
          </w:r>
          <w:r w:rsidRPr="002D1F23">
            <w:rPr>
              <w:color w:val="000000"/>
            </w:rPr>
            <w:t xml:space="preserve"> an interested person to request a court to remove an attorney-in-fact who is financially abusing the principal or breaching his or her fiduciary duties. It also </w:t>
          </w:r>
          <w:r>
            <w:rPr>
              <w:color w:val="000000"/>
            </w:rPr>
            <w:t>provides</w:t>
          </w:r>
          <w:r w:rsidRPr="002D1F23">
            <w:rPr>
              <w:color w:val="000000"/>
            </w:rPr>
            <w:t xml:space="preserve"> the court with the authority to appoint the successor attorney-in-fact named in the POA, which would prevent unnecessary guardianships. When the named attorney-in-fact is removed by a court, the court typically would initiate proceedings to appoint a guardian because it lacks the authority to appoint an agent designated in the POA who the court can trust.</w:t>
          </w:r>
        </w:p>
        <w:p w:rsidR="00EC39E0" w:rsidRPr="002D1F23" w:rsidRDefault="00EC39E0" w:rsidP="00DE3315">
          <w:pPr>
            <w:pStyle w:val="NormalWeb"/>
            <w:spacing w:before="0" w:beforeAutospacing="0" w:after="0" w:afterAutospacing="0"/>
            <w:jc w:val="both"/>
            <w:divId w:val="1351566167"/>
            <w:rPr>
              <w:color w:val="000000"/>
            </w:rPr>
          </w:pPr>
        </w:p>
        <w:p w:rsidR="00EC39E0" w:rsidRPr="002D1F23" w:rsidRDefault="00EC39E0" w:rsidP="00DE3315">
          <w:pPr>
            <w:pStyle w:val="NormalWeb"/>
            <w:spacing w:before="0" w:beforeAutospacing="0" w:after="0" w:afterAutospacing="0"/>
            <w:jc w:val="both"/>
            <w:divId w:val="1351566167"/>
            <w:rPr>
              <w:color w:val="000000"/>
            </w:rPr>
          </w:pPr>
          <w:r w:rsidRPr="002D1F23">
            <w:rPr>
              <w:color w:val="000000"/>
            </w:rPr>
            <w:t>Lastly, S</w:t>
          </w:r>
          <w:r>
            <w:rPr>
              <w:color w:val="000000"/>
            </w:rPr>
            <w:t>.</w:t>
          </w:r>
          <w:r w:rsidRPr="002D1F23">
            <w:rPr>
              <w:color w:val="000000"/>
            </w:rPr>
            <w:t>B</w:t>
          </w:r>
          <w:r>
            <w:rPr>
              <w:color w:val="000000"/>
            </w:rPr>
            <w:t xml:space="preserve">. 39 </w:t>
          </w:r>
          <w:r w:rsidRPr="002D1F23">
            <w:rPr>
              <w:color w:val="000000"/>
            </w:rPr>
            <w:t>automatically revoke</w:t>
          </w:r>
          <w:r>
            <w:rPr>
              <w:color w:val="000000"/>
            </w:rPr>
            <w:t>s</w:t>
          </w:r>
          <w:r w:rsidRPr="002D1F23">
            <w:rPr>
              <w:color w:val="000000"/>
            </w:rPr>
            <w:t xml:space="preserve"> a POA when a temporary guardianship is established unless a court enters an order affirming the effectiveness of the POA and confirming its validity. This change </w:t>
          </w:r>
          <w:r>
            <w:rPr>
              <w:color w:val="000000"/>
            </w:rPr>
            <w:t>prevents</w:t>
          </w:r>
          <w:r w:rsidRPr="002D1F23">
            <w:rPr>
              <w:color w:val="000000"/>
            </w:rPr>
            <w:t xml:space="preserve"> situations where there are two persons, guardian of the estate and agent under POA, with conflicting authority to make financial decisions on behalf of the same person. </w:t>
          </w:r>
        </w:p>
        <w:p w:rsidR="00EC39E0" w:rsidRPr="00D70925" w:rsidRDefault="00EC39E0" w:rsidP="00DE3315">
          <w:pPr>
            <w:spacing w:after="0" w:line="240" w:lineRule="auto"/>
            <w:jc w:val="both"/>
            <w:rPr>
              <w:rFonts w:eastAsia="Times New Roman" w:cs="Times New Roman"/>
              <w:bCs/>
              <w:szCs w:val="24"/>
            </w:rPr>
          </w:pPr>
        </w:p>
      </w:sdtContent>
    </w:sdt>
    <w:p w:rsidR="00EC39E0" w:rsidRDefault="00EC39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 </w:t>
      </w:r>
      <w:bookmarkStart w:id="1" w:name="AmendsCurrentLaw"/>
      <w:bookmarkEnd w:id="1"/>
      <w:r>
        <w:rPr>
          <w:rFonts w:cs="Times New Roman"/>
          <w:szCs w:val="24"/>
        </w:rPr>
        <w:t>amends current law relating to guardianships for persons who have physical disabilities or who are incapacitated.</w:t>
      </w:r>
    </w:p>
    <w:p w:rsidR="00EC39E0" w:rsidRPr="00D25B9C" w:rsidRDefault="00EC39E0" w:rsidP="000F1DF9">
      <w:pPr>
        <w:spacing w:after="0" w:line="240" w:lineRule="auto"/>
        <w:jc w:val="both"/>
        <w:rPr>
          <w:rFonts w:eastAsia="Times New Roman" w:cs="Times New Roman"/>
          <w:szCs w:val="24"/>
        </w:rPr>
      </w:pPr>
    </w:p>
    <w:p w:rsidR="00EC39E0" w:rsidRPr="005C2A78" w:rsidRDefault="00EC39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A4BCD3ED15E4AAD9FCB7A76D1449780"/>
          </w:placeholder>
        </w:sdtPr>
        <w:sdtContent>
          <w:r>
            <w:rPr>
              <w:rFonts w:eastAsia="Times New Roman" w:cs="Times New Roman"/>
              <w:b/>
              <w:szCs w:val="24"/>
              <w:u w:val="single"/>
            </w:rPr>
            <w:t>RULEMAKING AUTHORITY</w:t>
          </w:r>
        </w:sdtContent>
      </w:sdt>
    </w:p>
    <w:p w:rsidR="00EC39E0" w:rsidRPr="006529C4" w:rsidRDefault="00EC39E0" w:rsidP="00774EC7">
      <w:pPr>
        <w:spacing w:after="0" w:line="240" w:lineRule="auto"/>
        <w:jc w:val="both"/>
        <w:rPr>
          <w:rFonts w:cs="Times New Roman"/>
          <w:szCs w:val="24"/>
        </w:rPr>
      </w:pPr>
    </w:p>
    <w:p w:rsidR="00EC39E0" w:rsidRPr="006529C4" w:rsidRDefault="00EC39E0"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EC39E0" w:rsidRPr="006529C4" w:rsidRDefault="00EC39E0" w:rsidP="00774EC7">
      <w:pPr>
        <w:spacing w:after="0" w:line="240" w:lineRule="auto"/>
        <w:jc w:val="both"/>
        <w:rPr>
          <w:rFonts w:cs="Times New Roman"/>
          <w:szCs w:val="24"/>
        </w:rPr>
      </w:pPr>
    </w:p>
    <w:p w:rsidR="00EC39E0" w:rsidRPr="005C2A78" w:rsidRDefault="00EC39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5D003A6F02D4D4392B292A0E4A7EB87"/>
          </w:placeholder>
        </w:sdtPr>
        <w:sdtContent>
          <w:r>
            <w:rPr>
              <w:rFonts w:eastAsia="Times New Roman" w:cs="Times New Roman"/>
              <w:b/>
              <w:szCs w:val="24"/>
              <w:u w:val="single"/>
            </w:rPr>
            <w:t>SECTION BY SECTION ANALYSIS</w:t>
          </w:r>
        </w:sdtContent>
      </w:sdt>
    </w:p>
    <w:p w:rsidR="00EC39E0" w:rsidRPr="005C2A78" w:rsidRDefault="00EC39E0" w:rsidP="000F1DF9">
      <w:pPr>
        <w:spacing w:after="0" w:line="240" w:lineRule="auto"/>
        <w:jc w:val="both"/>
        <w:rPr>
          <w:rFonts w:eastAsia="Times New Roman" w:cs="Times New Roman"/>
          <w:szCs w:val="24"/>
        </w:rPr>
      </w:pPr>
    </w:p>
    <w:p w:rsidR="00EC39E0" w:rsidRDefault="00EC39E0" w:rsidP="000F1DF9">
      <w:pPr>
        <w:spacing w:after="0" w:line="240" w:lineRule="auto"/>
        <w:jc w:val="both"/>
        <w:rPr>
          <w:rFonts w:eastAsia="Times New Roman" w:cs="Times New Roman"/>
          <w:szCs w:val="24"/>
        </w:rPr>
      </w:pPr>
      <w:r>
        <w:rPr>
          <w:rFonts w:eastAsia="Times New Roman" w:cs="Times New Roman"/>
          <w:szCs w:val="24"/>
        </w:rPr>
        <w:t xml:space="preserve">SECTION 1. Amends Section 1055.003, Estates Code, as follows: </w:t>
      </w:r>
    </w:p>
    <w:p w:rsidR="00EC39E0" w:rsidRDefault="00EC39E0" w:rsidP="00B25E2A">
      <w:pPr>
        <w:spacing w:after="0" w:line="240" w:lineRule="auto"/>
        <w:ind w:left="720"/>
        <w:jc w:val="both"/>
        <w:rPr>
          <w:rFonts w:eastAsia="Times New Roman" w:cs="Times New Roman"/>
          <w:szCs w:val="24"/>
        </w:rPr>
      </w:pPr>
    </w:p>
    <w:p w:rsidR="00EC39E0" w:rsidRDefault="00EC39E0" w:rsidP="00B25E2A">
      <w:pPr>
        <w:spacing w:after="0" w:line="240" w:lineRule="auto"/>
        <w:ind w:left="720"/>
        <w:jc w:val="both"/>
        <w:rPr>
          <w:rFonts w:eastAsia="Times New Roman" w:cs="Times New Roman"/>
          <w:szCs w:val="24"/>
        </w:rPr>
      </w:pPr>
      <w:r>
        <w:rPr>
          <w:rFonts w:eastAsia="Times New Roman" w:cs="Times New Roman"/>
          <w:szCs w:val="24"/>
        </w:rPr>
        <w:t>Sec. 1055.003. INTERVENTION BY INTERESTED PERSON. (a) and (b) Makes no changes to these subsections.</w:t>
      </w:r>
    </w:p>
    <w:p w:rsidR="00EC39E0" w:rsidRDefault="00EC39E0" w:rsidP="00B25E2A">
      <w:pPr>
        <w:spacing w:after="0" w:line="240" w:lineRule="auto"/>
        <w:ind w:left="1440"/>
        <w:jc w:val="both"/>
        <w:rPr>
          <w:rFonts w:eastAsia="Times New Roman" w:cs="Times New Roman"/>
          <w:szCs w:val="24"/>
        </w:rPr>
      </w:pPr>
    </w:p>
    <w:p w:rsidR="00EC39E0" w:rsidRPr="005C2A78" w:rsidRDefault="00EC39E0" w:rsidP="00B25E2A">
      <w:pPr>
        <w:spacing w:after="0" w:line="240" w:lineRule="auto"/>
        <w:ind w:left="1440"/>
        <w:jc w:val="both"/>
        <w:rPr>
          <w:rFonts w:eastAsia="Times New Roman" w:cs="Times New Roman"/>
          <w:szCs w:val="24"/>
        </w:rPr>
      </w:pPr>
      <w:r>
        <w:rPr>
          <w:rFonts w:eastAsia="Times New Roman" w:cs="Times New Roman"/>
          <w:szCs w:val="24"/>
        </w:rPr>
        <w:t xml:space="preserve">(c) Provides that the provisions of Subsections (a) and (b) do not apply to any person who would be entitled to notice of the filing of the guardianship application pursuant to Section 1051.104 (Notice by Applicant for Guardianship), of this code.  </w:t>
      </w:r>
    </w:p>
    <w:p w:rsidR="00EC39E0" w:rsidRPr="005C2A78" w:rsidRDefault="00EC39E0" w:rsidP="000F1DF9">
      <w:pPr>
        <w:spacing w:after="0" w:line="240" w:lineRule="auto"/>
        <w:jc w:val="both"/>
        <w:rPr>
          <w:rFonts w:eastAsia="Times New Roman" w:cs="Times New Roman"/>
          <w:szCs w:val="24"/>
        </w:rPr>
      </w:pPr>
    </w:p>
    <w:p w:rsidR="00EC39E0" w:rsidRDefault="00EC39E0" w:rsidP="00D25B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1102.002, Estates Code, as follows: </w:t>
      </w:r>
    </w:p>
    <w:p w:rsidR="00EC39E0" w:rsidRDefault="00EC39E0" w:rsidP="00D25B9C">
      <w:pPr>
        <w:spacing w:after="0" w:line="240" w:lineRule="auto"/>
        <w:jc w:val="both"/>
        <w:rPr>
          <w:rFonts w:eastAsia="Times New Roman" w:cs="Times New Roman"/>
          <w:szCs w:val="24"/>
        </w:rPr>
      </w:pPr>
    </w:p>
    <w:p w:rsidR="00EC39E0" w:rsidRPr="005C2A78" w:rsidRDefault="00EC39E0" w:rsidP="00B25E2A">
      <w:pPr>
        <w:spacing w:after="0" w:line="240" w:lineRule="auto"/>
        <w:ind w:left="720"/>
        <w:jc w:val="both"/>
        <w:rPr>
          <w:rFonts w:eastAsia="Times New Roman" w:cs="Times New Roman"/>
          <w:szCs w:val="24"/>
        </w:rPr>
      </w:pPr>
      <w:r>
        <w:rPr>
          <w:rFonts w:eastAsia="Times New Roman" w:cs="Times New Roman"/>
          <w:szCs w:val="24"/>
        </w:rPr>
        <w:t xml:space="preserve">Sec. 1102.002. CONTENTS OF APPLICATION FOR GUARDIANSHIP; CONFIDENTIALITY OF CERTAIN ADDRESSES. Authorizes an application filed under Section 1101.001 (Application for Appointment of Guardian; Contents) to omit the address of a person named in the application, if the application states that the person is or was protected by a protective order issued under Chapter 85 (Issuance of Protective Order), Family Code, rather than if the application states that the person is protected by a protective order. </w:t>
      </w:r>
    </w:p>
    <w:p w:rsidR="00EC39E0" w:rsidRPr="005C2A78" w:rsidRDefault="00EC39E0" w:rsidP="000F1DF9">
      <w:pPr>
        <w:spacing w:after="0" w:line="240" w:lineRule="auto"/>
        <w:jc w:val="both"/>
        <w:rPr>
          <w:rFonts w:eastAsia="Times New Roman" w:cs="Times New Roman"/>
          <w:szCs w:val="24"/>
        </w:rPr>
      </w:pPr>
    </w:p>
    <w:p w:rsidR="00EC39E0" w:rsidRDefault="00EC39E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1357.056, Estates Code, as follows:</w:t>
      </w:r>
    </w:p>
    <w:p w:rsidR="00EC39E0" w:rsidRDefault="00EC39E0" w:rsidP="000F1DF9">
      <w:pPr>
        <w:spacing w:after="0" w:line="240" w:lineRule="auto"/>
        <w:jc w:val="both"/>
        <w:rPr>
          <w:rFonts w:eastAsia="Times New Roman" w:cs="Times New Roman"/>
          <w:szCs w:val="24"/>
        </w:rPr>
      </w:pPr>
    </w:p>
    <w:p w:rsidR="00EC39E0" w:rsidRDefault="00EC39E0" w:rsidP="00D25B9C">
      <w:pPr>
        <w:spacing w:after="0" w:line="240" w:lineRule="auto"/>
        <w:ind w:left="720"/>
        <w:jc w:val="both"/>
        <w:rPr>
          <w:rFonts w:eastAsia="Times New Roman" w:cs="Times New Roman"/>
          <w:szCs w:val="24"/>
        </w:rPr>
      </w:pPr>
      <w:r>
        <w:rPr>
          <w:rFonts w:eastAsia="Times New Roman" w:cs="Times New Roman"/>
          <w:szCs w:val="24"/>
        </w:rPr>
        <w:t xml:space="preserve">Sec. 1357.056. FORM OF SUPPORTED DECISION-MAKING AGREEMENT. Sets forth certain language to be used in a supported decision-making agreement. </w:t>
      </w:r>
    </w:p>
    <w:p w:rsidR="00EC39E0" w:rsidRDefault="00EC39E0" w:rsidP="000F1DF9">
      <w:pPr>
        <w:spacing w:after="0" w:line="240" w:lineRule="auto"/>
        <w:jc w:val="both"/>
        <w:rPr>
          <w:rFonts w:eastAsia="Times New Roman" w:cs="Times New Roman"/>
          <w:szCs w:val="24"/>
        </w:rPr>
      </w:pPr>
    </w:p>
    <w:p w:rsidR="00EC39E0" w:rsidRDefault="00EC39E0" w:rsidP="000F1DF9">
      <w:pPr>
        <w:spacing w:after="0" w:line="240" w:lineRule="auto"/>
        <w:jc w:val="both"/>
        <w:rPr>
          <w:rFonts w:eastAsia="Times New Roman" w:cs="Times New Roman"/>
          <w:szCs w:val="24"/>
        </w:rPr>
      </w:pPr>
      <w:r>
        <w:rPr>
          <w:rFonts w:eastAsia="Times New Roman" w:cs="Times New Roman"/>
          <w:szCs w:val="24"/>
        </w:rPr>
        <w:t>SECTION 4. Amends Section 1357.101, Estates Code, as follows:</w:t>
      </w:r>
    </w:p>
    <w:p w:rsidR="00EC39E0" w:rsidRDefault="00EC39E0" w:rsidP="000F1DF9">
      <w:pPr>
        <w:spacing w:after="0" w:line="240" w:lineRule="auto"/>
        <w:jc w:val="both"/>
        <w:rPr>
          <w:rFonts w:eastAsia="Times New Roman" w:cs="Times New Roman"/>
          <w:szCs w:val="24"/>
        </w:rPr>
      </w:pPr>
    </w:p>
    <w:p w:rsidR="00EC39E0" w:rsidRDefault="00EC39E0" w:rsidP="00D25B9C">
      <w:pPr>
        <w:spacing w:after="0" w:line="240" w:lineRule="auto"/>
        <w:ind w:left="720"/>
        <w:jc w:val="both"/>
        <w:rPr>
          <w:rFonts w:eastAsia="Times New Roman" w:cs="Times New Roman"/>
          <w:szCs w:val="24"/>
        </w:rPr>
      </w:pPr>
      <w:r>
        <w:rPr>
          <w:rFonts w:eastAsia="Times New Roman" w:cs="Times New Roman"/>
          <w:szCs w:val="24"/>
        </w:rPr>
        <w:t xml:space="preserve">Sec. 1357.101. RELIANCE ON AGREEMENT; LIMITATION OF LIABILITY. </w:t>
      </w:r>
    </w:p>
    <w:p w:rsidR="00EC39E0" w:rsidRDefault="00EC39E0" w:rsidP="00D25B9C">
      <w:pPr>
        <w:spacing w:after="0" w:line="240" w:lineRule="auto"/>
        <w:ind w:left="720"/>
        <w:jc w:val="both"/>
        <w:rPr>
          <w:rFonts w:eastAsia="Times New Roman" w:cs="Times New Roman"/>
          <w:szCs w:val="24"/>
        </w:rPr>
      </w:pPr>
    </w:p>
    <w:p w:rsidR="00EC39E0" w:rsidRDefault="00EC39E0" w:rsidP="00DE3315">
      <w:pPr>
        <w:spacing w:after="0" w:line="240" w:lineRule="auto"/>
        <w:ind w:left="1440"/>
        <w:jc w:val="both"/>
        <w:rPr>
          <w:rFonts w:eastAsia="Times New Roman" w:cs="Times New Roman"/>
          <w:szCs w:val="24"/>
        </w:rPr>
      </w:pPr>
      <w:r>
        <w:rPr>
          <w:rFonts w:eastAsia="Times New Roman" w:cs="Times New Roman"/>
          <w:szCs w:val="24"/>
        </w:rPr>
        <w:t xml:space="preserve">(c) Provides that a supporter in a supported decision-making agreement is in a fiduciary relationship with the adult with a disability who enters into the agreement, and the supporter owes to the adult with a disability those duties stated in the supported decision-making agreement form. </w:t>
      </w:r>
    </w:p>
    <w:p w:rsidR="00EC39E0" w:rsidRDefault="00EC39E0" w:rsidP="000F1DF9">
      <w:pPr>
        <w:spacing w:after="0" w:line="240" w:lineRule="auto"/>
        <w:jc w:val="both"/>
        <w:rPr>
          <w:rFonts w:eastAsia="Times New Roman" w:cs="Times New Roman"/>
          <w:szCs w:val="24"/>
        </w:rPr>
      </w:pPr>
    </w:p>
    <w:p w:rsidR="00EC39E0" w:rsidRDefault="00EC39E0" w:rsidP="000F1DF9">
      <w:pPr>
        <w:spacing w:after="0" w:line="240" w:lineRule="auto"/>
        <w:jc w:val="both"/>
        <w:rPr>
          <w:rFonts w:eastAsia="Times New Roman" w:cs="Times New Roman"/>
          <w:szCs w:val="24"/>
        </w:rPr>
      </w:pPr>
      <w:r>
        <w:rPr>
          <w:rFonts w:eastAsia="Times New Roman" w:cs="Times New Roman"/>
          <w:szCs w:val="24"/>
        </w:rPr>
        <w:t>SECTION 5. Amends Section 752.051, Estates Code, as follows:</w:t>
      </w:r>
    </w:p>
    <w:p w:rsidR="00EC39E0" w:rsidRDefault="00EC39E0" w:rsidP="000F1DF9">
      <w:pPr>
        <w:spacing w:after="0" w:line="240" w:lineRule="auto"/>
        <w:jc w:val="both"/>
        <w:rPr>
          <w:rFonts w:eastAsia="Times New Roman" w:cs="Times New Roman"/>
          <w:szCs w:val="24"/>
        </w:rPr>
      </w:pPr>
    </w:p>
    <w:p w:rsidR="00EC39E0" w:rsidRDefault="00EC39E0" w:rsidP="00D25B9C">
      <w:pPr>
        <w:spacing w:after="0" w:line="240" w:lineRule="auto"/>
        <w:ind w:left="720"/>
        <w:jc w:val="both"/>
        <w:rPr>
          <w:rFonts w:eastAsia="Times New Roman" w:cs="Times New Roman"/>
          <w:szCs w:val="24"/>
        </w:rPr>
      </w:pPr>
      <w:r>
        <w:rPr>
          <w:rFonts w:eastAsia="Times New Roman" w:cs="Times New Roman"/>
          <w:szCs w:val="24"/>
        </w:rPr>
        <w:t xml:space="preserve">Sec. 752.051. FORM OF STATUTORY DURABLE POWER OF ATTORNEY. Includes removal by a court of competent jurisdiction among certain other conditions that may lead to the naming of a successor agent in the text of the form for a statutory durable power of attorney. </w:t>
      </w:r>
    </w:p>
    <w:p w:rsidR="00EC39E0" w:rsidRDefault="00EC39E0" w:rsidP="00D25B9C">
      <w:pPr>
        <w:spacing w:after="0" w:line="240" w:lineRule="auto"/>
        <w:ind w:left="720"/>
        <w:jc w:val="both"/>
        <w:rPr>
          <w:rFonts w:eastAsia="Times New Roman" w:cs="Times New Roman"/>
          <w:szCs w:val="24"/>
        </w:rPr>
      </w:pPr>
    </w:p>
    <w:p w:rsidR="00EC39E0" w:rsidRDefault="00EC39E0" w:rsidP="00D25B9C">
      <w:pPr>
        <w:spacing w:after="0" w:line="240" w:lineRule="auto"/>
        <w:jc w:val="both"/>
        <w:rPr>
          <w:rFonts w:eastAsia="Times New Roman" w:cs="Times New Roman"/>
          <w:szCs w:val="24"/>
        </w:rPr>
      </w:pPr>
      <w:r>
        <w:rPr>
          <w:rFonts w:eastAsia="Times New Roman" w:cs="Times New Roman"/>
          <w:szCs w:val="24"/>
        </w:rPr>
        <w:t>SECTION 6. Amends Section 752.052, Estates Code, as follows:</w:t>
      </w:r>
    </w:p>
    <w:p w:rsidR="00EC39E0" w:rsidRDefault="00EC39E0" w:rsidP="00D25B9C">
      <w:pPr>
        <w:spacing w:after="0" w:line="240" w:lineRule="auto"/>
        <w:jc w:val="both"/>
        <w:rPr>
          <w:rFonts w:eastAsia="Times New Roman" w:cs="Times New Roman"/>
          <w:szCs w:val="24"/>
        </w:rPr>
      </w:pPr>
    </w:p>
    <w:p w:rsidR="00EC39E0" w:rsidRDefault="00EC39E0" w:rsidP="00D25B9C">
      <w:pPr>
        <w:spacing w:after="0" w:line="240" w:lineRule="auto"/>
        <w:ind w:left="720"/>
        <w:jc w:val="both"/>
        <w:rPr>
          <w:rFonts w:eastAsia="Times New Roman" w:cs="Times New Roman"/>
          <w:szCs w:val="24"/>
        </w:rPr>
      </w:pPr>
      <w:r>
        <w:rPr>
          <w:rFonts w:eastAsia="Times New Roman" w:cs="Times New Roman"/>
          <w:szCs w:val="24"/>
        </w:rPr>
        <w:t xml:space="preserve">Sec. 752.052. RELATION OF ATTORNEY-IN-FACT TO COURT-APPOINTED GUARDIAN OF ESTATE. (a) Provides that the appointment by a court in a guardianship proceeding in Texas of a temporary or permanent guardian of the estate for a ward who is the principal under a statutory durable power of attorney automatically revokes all powers and authority granted to each agent or attorney-in-fact named in the power of attorney, unless the court in the guardianship proceeding enters an order that affirms and states the effectiveness of the power of attorney and confirms the validity of the appointment of the named agent or attorney-in-fact. </w:t>
      </w:r>
    </w:p>
    <w:p w:rsidR="00EC39E0" w:rsidRDefault="00EC39E0" w:rsidP="00D25B9C">
      <w:pPr>
        <w:spacing w:after="0" w:line="240" w:lineRule="auto"/>
        <w:ind w:left="720"/>
        <w:jc w:val="both"/>
        <w:rPr>
          <w:rFonts w:eastAsia="Times New Roman" w:cs="Times New Roman"/>
          <w:szCs w:val="24"/>
        </w:rPr>
      </w:pPr>
    </w:p>
    <w:p w:rsidR="00EC39E0" w:rsidRDefault="00EC39E0" w:rsidP="00D25B9C">
      <w:pPr>
        <w:spacing w:after="0" w:line="240" w:lineRule="auto"/>
        <w:jc w:val="both"/>
        <w:rPr>
          <w:rFonts w:eastAsia="Times New Roman" w:cs="Times New Roman"/>
          <w:szCs w:val="24"/>
        </w:rPr>
      </w:pPr>
      <w:r>
        <w:rPr>
          <w:rFonts w:eastAsia="Times New Roman" w:cs="Times New Roman"/>
          <w:szCs w:val="24"/>
        </w:rPr>
        <w:t xml:space="preserve">SECTION 7. Amends the Estates Code, by adding </w:t>
      </w:r>
      <w:r>
        <w:rPr>
          <w:rFonts w:eastAsia="Times New Roman" w:cs="Times New Roman"/>
          <w:szCs w:val="24"/>
        </w:rPr>
        <w:t xml:space="preserve">Subtitle P, Chapter 753, </w:t>
      </w:r>
      <w:r>
        <w:rPr>
          <w:rFonts w:eastAsia="Times New Roman" w:cs="Times New Roman"/>
          <w:szCs w:val="24"/>
        </w:rPr>
        <w:t xml:space="preserve">Section 753.001, as follows: </w:t>
      </w:r>
    </w:p>
    <w:p w:rsidR="00EC39E0" w:rsidRDefault="00EC39E0" w:rsidP="00D25B9C">
      <w:pPr>
        <w:spacing w:after="0" w:line="240" w:lineRule="auto"/>
        <w:jc w:val="both"/>
        <w:rPr>
          <w:rFonts w:eastAsia="Times New Roman" w:cs="Times New Roman"/>
          <w:szCs w:val="24"/>
        </w:rPr>
      </w:pPr>
    </w:p>
    <w:p w:rsidR="00EC39E0" w:rsidRDefault="00EC39E0" w:rsidP="00D25B9C">
      <w:pPr>
        <w:spacing w:after="0" w:line="240" w:lineRule="auto"/>
        <w:ind w:left="720"/>
        <w:jc w:val="both"/>
        <w:rPr>
          <w:rFonts w:eastAsia="Times New Roman" w:cs="Times New Roman"/>
          <w:szCs w:val="24"/>
        </w:rPr>
      </w:pPr>
      <w:r>
        <w:rPr>
          <w:rFonts w:eastAsia="Times New Roman" w:cs="Times New Roman"/>
          <w:szCs w:val="24"/>
        </w:rPr>
        <w:t xml:space="preserve">Sec. 753.001. REMOVAL OF ATTORNEY-IN-FACT. (a) Authorizes certain persons to file a petition to remove the currently serving attorney-in-fact named in a durable power of attorney and appoint a successor attorney-in-fact who is named in the durable power of attorney. </w:t>
      </w:r>
    </w:p>
    <w:p w:rsidR="00EC39E0" w:rsidRDefault="00EC39E0" w:rsidP="00D25B9C">
      <w:pPr>
        <w:spacing w:after="0" w:line="240" w:lineRule="auto"/>
        <w:ind w:left="720"/>
        <w:jc w:val="both"/>
        <w:rPr>
          <w:rFonts w:eastAsia="Times New Roman" w:cs="Times New Roman"/>
          <w:szCs w:val="24"/>
        </w:rPr>
      </w:pPr>
    </w:p>
    <w:p w:rsidR="00EC39E0" w:rsidRDefault="00EC39E0" w:rsidP="00D25B9C">
      <w:pPr>
        <w:spacing w:after="0" w:line="240" w:lineRule="auto"/>
        <w:ind w:left="1440"/>
        <w:jc w:val="both"/>
        <w:rPr>
          <w:rFonts w:eastAsia="Times New Roman" w:cs="Times New Roman"/>
          <w:szCs w:val="24"/>
        </w:rPr>
      </w:pPr>
      <w:r>
        <w:rPr>
          <w:rFonts w:eastAsia="Times New Roman" w:cs="Times New Roman"/>
          <w:szCs w:val="24"/>
        </w:rPr>
        <w:t>(b) Authorizes the removal of an attorney-in-fact on the petition of an interested person. Authorizes a court, after a hearing, to remove an attorney-in-fact, in its discretion, and deny part or all of the attorney-in-fact's compensation under certain conditions, if allowed by the terms of the power of attorney.</w:t>
      </w:r>
    </w:p>
    <w:p w:rsidR="00EC39E0" w:rsidRDefault="00EC39E0" w:rsidP="00D25B9C">
      <w:pPr>
        <w:spacing w:after="0" w:line="240" w:lineRule="auto"/>
        <w:ind w:left="1440"/>
        <w:jc w:val="both"/>
        <w:rPr>
          <w:rFonts w:eastAsia="Times New Roman" w:cs="Times New Roman"/>
          <w:szCs w:val="24"/>
        </w:rPr>
      </w:pPr>
    </w:p>
    <w:p w:rsidR="00EC39E0" w:rsidRPr="005C2A78" w:rsidRDefault="00EC39E0" w:rsidP="00D25B9C">
      <w:pPr>
        <w:spacing w:after="0" w:line="240" w:lineRule="auto"/>
        <w:ind w:left="1440"/>
        <w:jc w:val="both"/>
        <w:rPr>
          <w:rFonts w:eastAsia="Times New Roman" w:cs="Times New Roman"/>
          <w:szCs w:val="24"/>
        </w:rPr>
      </w:pPr>
      <w:r>
        <w:rPr>
          <w:rFonts w:eastAsia="Times New Roman" w:cs="Times New Roman"/>
          <w:szCs w:val="24"/>
        </w:rPr>
        <w:t xml:space="preserve">(c) Authorizes a cause of action brought under Subsection (a) to be filed in any court with original probate jurisdiction. </w:t>
      </w:r>
    </w:p>
    <w:p w:rsidR="00EC39E0" w:rsidRPr="006529C4" w:rsidRDefault="00EC39E0" w:rsidP="00774EC7">
      <w:pPr>
        <w:spacing w:after="0" w:line="240" w:lineRule="auto"/>
        <w:jc w:val="both"/>
        <w:rPr>
          <w:rFonts w:cs="Times New Roman"/>
          <w:szCs w:val="24"/>
        </w:rPr>
      </w:pPr>
    </w:p>
    <w:p w:rsidR="00EC39E0" w:rsidRDefault="00EC39E0" w:rsidP="00774EC7">
      <w:pPr>
        <w:spacing w:after="0" w:line="240" w:lineRule="auto"/>
        <w:jc w:val="both"/>
      </w:pPr>
      <w:r>
        <w:t xml:space="preserve">SECTION 8. Amends the Estates Code, by adding </w:t>
      </w:r>
      <w:r>
        <w:t xml:space="preserve">Subtitle P, Chapter 753, </w:t>
      </w:r>
      <w:r>
        <w:t xml:space="preserve">Section 753.002, as follows: </w:t>
      </w:r>
    </w:p>
    <w:p w:rsidR="00EC39E0" w:rsidRDefault="00EC39E0" w:rsidP="00774EC7">
      <w:pPr>
        <w:spacing w:after="0" w:line="240" w:lineRule="auto"/>
        <w:jc w:val="both"/>
      </w:pPr>
    </w:p>
    <w:p w:rsidR="00EC39E0" w:rsidRDefault="00EC39E0" w:rsidP="00D25B9C">
      <w:pPr>
        <w:spacing w:after="0" w:line="240" w:lineRule="auto"/>
        <w:ind w:left="720"/>
        <w:jc w:val="both"/>
      </w:pPr>
      <w:r>
        <w:t xml:space="preserve">Sec. 753.002. APPOINTMENT OF DESIGNATED SUCCESSOR ATTORNEY-IN-FACT. (a) Prohibits the court, if a person currently serving as an attorney-in-fact under a durable power of attorney is removed, from authorizing the appointment of any successor attorney-in-fact named in the durable power of attorney unless the court enters findings that such person is qualified and capable of properly performing his or her duties to the principal, pursuant to the terms of the durable power of attorney and other applicable law. </w:t>
      </w:r>
    </w:p>
    <w:p w:rsidR="00EC39E0" w:rsidRDefault="00EC39E0" w:rsidP="00D25B9C">
      <w:pPr>
        <w:spacing w:after="0" w:line="240" w:lineRule="auto"/>
        <w:ind w:left="720"/>
        <w:jc w:val="both"/>
      </w:pPr>
    </w:p>
    <w:p w:rsidR="00EC39E0" w:rsidRPr="006529C4" w:rsidRDefault="00EC39E0" w:rsidP="00D25B9C">
      <w:pPr>
        <w:spacing w:after="0" w:line="240" w:lineRule="auto"/>
        <w:ind w:left="1440"/>
        <w:jc w:val="both"/>
      </w:pPr>
      <w:r>
        <w:t xml:space="preserve">(b) Requires the successor attorney-in-fact, within 21 days after entry of an order removing an attorney-in-fact and appointing a successor attorney-in-fact, to provide actual notice of such order to all appropriate third-parties who the attorney-in-fact has reason to believe have relied, or may rely, on the durable power of attorney. </w:t>
      </w:r>
    </w:p>
    <w:p w:rsidR="00EC39E0" w:rsidRPr="00B25E2A" w:rsidRDefault="00EC39E0" w:rsidP="00B25E2A"/>
    <w:p w:rsidR="00EC39E0" w:rsidRPr="006F2685" w:rsidRDefault="00EC39E0" w:rsidP="006F2685"/>
    <w:p w:rsidR="00EC39E0" w:rsidRPr="002F29F2" w:rsidRDefault="00EC39E0" w:rsidP="002F29F2"/>
    <w:p w:rsidR="00EC39E0" w:rsidRPr="00AB501D" w:rsidRDefault="00EC39E0" w:rsidP="00AB501D"/>
    <w:p w:rsidR="00EC39E0" w:rsidRPr="00A4737F" w:rsidRDefault="00EC39E0" w:rsidP="00A4737F"/>
    <w:p w:rsidR="00EC39E0" w:rsidRPr="002D1F23" w:rsidRDefault="00EC39E0" w:rsidP="002D1F23"/>
    <w:p w:rsidR="00EC39E0" w:rsidRPr="00DE3315" w:rsidRDefault="00EC39E0" w:rsidP="00DE3315"/>
    <w:p w:rsidR="00986E9F" w:rsidRPr="00EC39E0" w:rsidRDefault="00986E9F" w:rsidP="00EC39E0"/>
    <w:sectPr w:rsidR="00986E9F" w:rsidRPr="00EC39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8D" w:rsidRDefault="00B61B8D" w:rsidP="000F1DF9">
      <w:pPr>
        <w:spacing w:after="0" w:line="240" w:lineRule="auto"/>
      </w:pPr>
      <w:r>
        <w:separator/>
      </w:r>
    </w:p>
  </w:endnote>
  <w:endnote w:type="continuationSeparator" w:id="0">
    <w:p w:rsidR="00B61B8D" w:rsidRDefault="00B61B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B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39E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39E0">
                <w:rPr>
                  <w:sz w:val="20"/>
                  <w:szCs w:val="20"/>
                </w:rPr>
                <w:t>S.B. 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39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B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39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39E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8D" w:rsidRDefault="00B61B8D" w:rsidP="000F1DF9">
      <w:pPr>
        <w:spacing w:after="0" w:line="240" w:lineRule="auto"/>
      </w:pPr>
      <w:r>
        <w:separator/>
      </w:r>
    </w:p>
  </w:footnote>
  <w:footnote w:type="continuationSeparator" w:id="0">
    <w:p w:rsidR="00B61B8D" w:rsidRDefault="00B61B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1B8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39E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39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39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2B0" w:rsidP="001712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EBDC1B7E5E43AC94E36F426CBC2C7B"/>
        <w:category>
          <w:name w:val="General"/>
          <w:gallery w:val="placeholder"/>
        </w:category>
        <w:types>
          <w:type w:val="bbPlcHdr"/>
        </w:types>
        <w:behaviors>
          <w:behavior w:val="content"/>
        </w:behaviors>
        <w:guid w:val="{72E1C58D-DC5F-486A-B4FC-B514062C1BC4}"/>
      </w:docPartPr>
      <w:docPartBody>
        <w:p w:rsidR="00000000" w:rsidRDefault="001129B5"/>
      </w:docPartBody>
    </w:docPart>
    <w:docPart>
      <w:docPartPr>
        <w:name w:val="CC4A99F49B864E1BA4F0156256F2B660"/>
        <w:category>
          <w:name w:val="General"/>
          <w:gallery w:val="placeholder"/>
        </w:category>
        <w:types>
          <w:type w:val="bbPlcHdr"/>
        </w:types>
        <w:behaviors>
          <w:behavior w:val="content"/>
        </w:behaviors>
        <w:guid w:val="{72F383D5-BA0F-445A-9D84-324758242571}"/>
      </w:docPartPr>
      <w:docPartBody>
        <w:p w:rsidR="00000000" w:rsidRDefault="001129B5"/>
      </w:docPartBody>
    </w:docPart>
    <w:docPart>
      <w:docPartPr>
        <w:name w:val="EB9B1B82249C428E85F1EF8C3A7B0332"/>
        <w:category>
          <w:name w:val="General"/>
          <w:gallery w:val="placeholder"/>
        </w:category>
        <w:types>
          <w:type w:val="bbPlcHdr"/>
        </w:types>
        <w:behaviors>
          <w:behavior w:val="content"/>
        </w:behaviors>
        <w:guid w:val="{03C422E5-1811-4A69-A29E-6EE7453973FF}"/>
      </w:docPartPr>
      <w:docPartBody>
        <w:p w:rsidR="00000000" w:rsidRDefault="001129B5"/>
      </w:docPartBody>
    </w:docPart>
    <w:docPart>
      <w:docPartPr>
        <w:name w:val="8DD2927CE6284E61857E88747EF6E4B1"/>
        <w:category>
          <w:name w:val="General"/>
          <w:gallery w:val="placeholder"/>
        </w:category>
        <w:types>
          <w:type w:val="bbPlcHdr"/>
        </w:types>
        <w:behaviors>
          <w:behavior w:val="content"/>
        </w:behaviors>
        <w:guid w:val="{4B77FA99-A43E-431B-A59B-51BE84ACB1D0}"/>
      </w:docPartPr>
      <w:docPartBody>
        <w:p w:rsidR="00000000" w:rsidRDefault="001129B5"/>
      </w:docPartBody>
    </w:docPart>
    <w:docPart>
      <w:docPartPr>
        <w:name w:val="3A2440C13C6F49C9860F8ECD93872FD1"/>
        <w:category>
          <w:name w:val="General"/>
          <w:gallery w:val="placeholder"/>
        </w:category>
        <w:types>
          <w:type w:val="bbPlcHdr"/>
        </w:types>
        <w:behaviors>
          <w:behavior w:val="content"/>
        </w:behaviors>
        <w:guid w:val="{1A9B645B-208C-451F-B45B-B886B0FA27C7}"/>
      </w:docPartPr>
      <w:docPartBody>
        <w:p w:rsidR="00000000" w:rsidRDefault="001129B5"/>
      </w:docPartBody>
    </w:docPart>
    <w:docPart>
      <w:docPartPr>
        <w:name w:val="7BAABC5964EA4CCE9A6647495807995C"/>
        <w:category>
          <w:name w:val="General"/>
          <w:gallery w:val="placeholder"/>
        </w:category>
        <w:types>
          <w:type w:val="bbPlcHdr"/>
        </w:types>
        <w:behaviors>
          <w:behavior w:val="content"/>
        </w:behaviors>
        <w:guid w:val="{8A073865-2768-44B2-8D4A-54F63F6011B3}"/>
      </w:docPartPr>
      <w:docPartBody>
        <w:p w:rsidR="00000000" w:rsidRDefault="001129B5"/>
      </w:docPartBody>
    </w:docPart>
    <w:docPart>
      <w:docPartPr>
        <w:name w:val="9A6375B80E9A41B6AD73279B85ABAA86"/>
        <w:category>
          <w:name w:val="General"/>
          <w:gallery w:val="placeholder"/>
        </w:category>
        <w:types>
          <w:type w:val="bbPlcHdr"/>
        </w:types>
        <w:behaviors>
          <w:behavior w:val="content"/>
        </w:behaviors>
        <w:guid w:val="{B4BDBFAE-D87F-44F0-ACA2-BAA092A91C13}"/>
      </w:docPartPr>
      <w:docPartBody>
        <w:p w:rsidR="00000000" w:rsidRDefault="001129B5"/>
      </w:docPartBody>
    </w:docPart>
    <w:docPart>
      <w:docPartPr>
        <w:name w:val="F7BA2E69B265493F91005079679BFF07"/>
        <w:category>
          <w:name w:val="General"/>
          <w:gallery w:val="placeholder"/>
        </w:category>
        <w:types>
          <w:type w:val="bbPlcHdr"/>
        </w:types>
        <w:behaviors>
          <w:behavior w:val="content"/>
        </w:behaviors>
        <w:guid w:val="{3015FD8B-9418-4EFF-8C8F-56C1D1AC12C9}"/>
      </w:docPartPr>
      <w:docPartBody>
        <w:p w:rsidR="00000000" w:rsidRDefault="001129B5"/>
      </w:docPartBody>
    </w:docPart>
    <w:docPart>
      <w:docPartPr>
        <w:name w:val="3D188F4973CD4822BD5D1534D2D46EC5"/>
        <w:category>
          <w:name w:val="General"/>
          <w:gallery w:val="placeholder"/>
        </w:category>
        <w:types>
          <w:type w:val="bbPlcHdr"/>
        </w:types>
        <w:behaviors>
          <w:behavior w:val="content"/>
        </w:behaviors>
        <w:guid w:val="{766B051C-6106-4329-9071-D6D1A32D3143}"/>
      </w:docPartPr>
      <w:docPartBody>
        <w:p w:rsidR="00000000" w:rsidRDefault="001712B0" w:rsidP="001712B0">
          <w:pPr>
            <w:pStyle w:val="3D188F4973CD4822BD5D1534D2D46EC5"/>
          </w:pPr>
          <w:r w:rsidRPr="00A30DD1">
            <w:rPr>
              <w:rStyle w:val="PlaceholderText"/>
            </w:rPr>
            <w:t>Click here to enter a date.</w:t>
          </w:r>
        </w:p>
      </w:docPartBody>
    </w:docPart>
    <w:docPart>
      <w:docPartPr>
        <w:name w:val="AE182D2B140047E09787965EC80615FD"/>
        <w:category>
          <w:name w:val="General"/>
          <w:gallery w:val="placeholder"/>
        </w:category>
        <w:types>
          <w:type w:val="bbPlcHdr"/>
        </w:types>
        <w:behaviors>
          <w:behavior w:val="content"/>
        </w:behaviors>
        <w:guid w:val="{724DC42A-AE89-4FCD-9497-D26588E6F155}"/>
      </w:docPartPr>
      <w:docPartBody>
        <w:p w:rsidR="00000000" w:rsidRDefault="001129B5"/>
      </w:docPartBody>
    </w:docPart>
    <w:docPart>
      <w:docPartPr>
        <w:name w:val="33CE63B7FC2B45849A706A1BEA759A89"/>
        <w:category>
          <w:name w:val="General"/>
          <w:gallery w:val="placeholder"/>
        </w:category>
        <w:types>
          <w:type w:val="bbPlcHdr"/>
        </w:types>
        <w:behaviors>
          <w:behavior w:val="content"/>
        </w:behaviors>
        <w:guid w:val="{F28A1605-08DA-4BBF-A097-A4E9DF49ACFA}"/>
      </w:docPartPr>
      <w:docPartBody>
        <w:p w:rsidR="00000000" w:rsidRDefault="001129B5"/>
      </w:docPartBody>
    </w:docPart>
    <w:docPart>
      <w:docPartPr>
        <w:name w:val="FBAA7CE330B442F4A88DF0346EF62DE9"/>
        <w:category>
          <w:name w:val="General"/>
          <w:gallery w:val="placeholder"/>
        </w:category>
        <w:types>
          <w:type w:val="bbPlcHdr"/>
        </w:types>
        <w:behaviors>
          <w:behavior w:val="content"/>
        </w:behaviors>
        <w:guid w:val="{CA7B17F5-FB0B-4474-8F13-D1EAA2C230E1}"/>
      </w:docPartPr>
      <w:docPartBody>
        <w:p w:rsidR="00000000" w:rsidRDefault="001712B0" w:rsidP="001712B0">
          <w:pPr>
            <w:pStyle w:val="FBAA7CE330B442F4A88DF0346EF62DE9"/>
          </w:pPr>
          <w:r>
            <w:rPr>
              <w:rFonts w:eastAsia="Times New Roman" w:cs="Times New Roman"/>
              <w:bCs/>
              <w:szCs w:val="24"/>
            </w:rPr>
            <w:t xml:space="preserve"> </w:t>
          </w:r>
        </w:p>
      </w:docPartBody>
    </w:docPart>
    <w:docPart>
      <w:docPartPr>
        <w:name w:val="7A4BCD3ED15E4AAD9FCB7A76D1449780"/>
        <w:category>
          <w:name w:val="General"/>
          <w:gallery w:val="placeholder"/>
        </w:category>
        <w:types>
          <w:type w:val="bbPlcHdr"/>
        </w:types>
        <w:behaviors>
          <w:behavior w:val="content"/>
        </w:behaviors>
        <w:guid w:val="{7373B93E-E5C0-4EF8-8A31-296392214AC6}"/>
      </w:docPartPr>
      <w:docPartBody>
        <w:p w:rsidR="00000000" w:rsidRDefault="001129B5"/>
      </w:docPartBody>
    </w:docPart>
    <w:docPart>
      <w:docPartPr>
        <w:name w:val="05D003A6F02D4D4392B292A0E4A7EB87"/>
        <w:category>
          <w:name w:val="General"/>
          <w:gallery w:val="placeholder"/>
        </w:category>
        <w:types>
          <w:type w:val="bbPlcHdr"/>
        </w:types>
        <w:behaviors>
          <w:behavior w:val="content"/>
        </w:behaviors>
        <w:guid w:val="{370A69CB-8183-4A81-B91B-5C92D8FFC786}"/>
      </w:docPartPr>
      <w:docPartBody>
        <w:p w:rsidR="00000000" w:rsidRDefault="001129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29B5"/>
    <w:rsid w:val="001135F3"/>
    <w:rsid w:val="001712B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2B0"/>
    <w:rPr>
      <w:rFonts w:ascii="Times New Roman" w:hAnsi="Times New Roman"/>
      <w:sz w:val="24"/>
    </w:rPr>
  </w:style>
  <w:style w:type="paragraph" w:customStyle="1" w:styleId="487D89B4F8B34DB4967D41FE18F7F88D7">
    <w:name w:val="487D89B4F8B34DB4967D41FE18F7F88D7"/>
    <w:rsid w:val="001712B0"/>
    <w:rPr>
      <w:rFonts w:ascii="Times New Roman" w:hAnsi="Times New Roman"/>
      <w:sz w:val="24"/>
    </w:rPr>
  </w:style>
  <w:style w:type="paragraph" w:customStyle="1" w:styleId="AE2570ED5D764CD7AF9686706F550F4620">
    <w:name w:val="AE2570ED5D764CD7AF9686706F550F4620"/>
    <w:rsid w:val="001712B0"/>
    <w:pPr>
      <w:tabs>
        <w:tab w:val="center" w:pos="4680"/>
        <w:tab w:val="right" w:pos="9360"/>
      </w:tabs>
      <w:spacing w:after="0" w:line="240" w:lineRule="auto"/>
    </w:pPr>
    <w:rPr>
      <w:rFonts w:ascii="Times New Roman" w:hAnsi="Times New Roman"/>
      <w:sz w:val="24"/>
    </w:rPr>
  </w:style>
  <w:style w:type="paragraph" w:customStyle="1" w:styleId="3D188F4973CD4822BD5D1534D2D46EC5">
    <w:name w:val="3D188F4973CD4822BD5D1534D2D46EC5"/>
    <w:rsid w:val="001712B0"/>
  </w:style>
  <w:style w:type="paragraph" w:customStyle="1" w:styleId="FBAA7CE330B442F4A88DF0346EF62DE9">
    <w:name w:val="FBAA7CE330B442F4A88DF0346EF62DE9"/>
    <w:rsid w:val="00171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2B0"/>
    <w:rPr>
      <w:rFonts w:ascii="Times New Roman" w:hAnsi="Times New Roman"/>
      <w:sz w:val="24"/>
    </w:rPr>
  </w:style>
  <w:style w:type="paragraph" w:customStyle="1" w:styleId="487D89B4F8B34DB4967D41FE18F7F88D7">
    <w:name w:val="487D89B4F8B34DB4967D41FE18F7F88D7"/>
    <w:rsid w:val="001712B0"/>
    <w:rPr>
      <w:rFonts w:ascii="Times New Roman" w:hAnsi="Times New Roman"/>
      <w:sz w:val="24"/>
    </w:rPr>
  </w:style>
  <w:style w:type="paragraph" w:customStyle="1" w:styleId="AE2570ED5D764CD7AF9686706F550F4620">
    <w:name w:val="AE2570ED5D764CD7AF9686706F550F4620"/>
    <w:rsid w:val="001712B0"/>
    <w:pPr>
      <w:tabs>
        <w:tab w:val="center" w:pos="4680"/>
        <w:tab w:val="right" w:pos="9360"/>
      </w:tabs>
      <w:spacing w:after="0" w:line="240" w:lineRule="auto"/>
    </w:pPr>
    <w:rPr>
      <w:rFonts w:ascii="Times New Roman" w:hAnsi="Times New Roman"/>
      <w:sz w:val="24"/>
    </w:rPr>
  </w:style>
  <w:style w:type="paragraph" w:customStyle="1" w:styleId="3D188F4973CD4822BD5D1534D2D46EC5">
    <w:name w:val="3D188F4973CD4822BD5D1534D2D46EC5"/>
    <w:rsid w:val="001712B0"/>
  </w:style>
  <w:style w:type="paragraph" w:customStyle="1" w:styleId="FBAA7CE330B442F4A88DF0346EF62DE9">
    <w:name w:val="FBAA7CE330B442F4A88DF0346EF62DE9"/>
    <w:rsid w:val="0017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E98EC-1BC2-4783-9B4F-232E7447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1037</Words>
  <Characters>5914</Characters>
  <Application>Microsoft Office Word</Application>
  <DocSecurity>0</DocSecurity>
  <Lines>49</Lines>
  <Paragraphs>13</Paragraphs>
  <ScaleCrop>false</ScaleCrop>
  <Company>Texas Legislative Council</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2017-03-21T15:22:00Z</cp:lastPrinted>
  <dcterms:created xsi:type="dcterms:W3CDTF">2015-05-29T14:24:00Z</dcterms:created>
  <dcterms:modified xsi:type="dcterms:W3CDTF">2017-03-21T15:22:00Z</dcterms:modified>
</cp:coreProperties>
</file>

<file path=docProps/custom.xml><?xml version="1.0" encoding="utf-8"?>
<op:Properties xmlns:vt="http://schemas.openxmlformats.org/officeDocument/2006/docPropsVTypes" xmlns:op="http://schemas.openxmlformats.org/officeDocument/2006/custom-properties"/>
</file>