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376A" w:rsidTr="00345119">
        <w:tc>
          <w:tcPr>
            <w:tcW w:w="9576" w:type="dxa"/>
            <w:noWrap/>
          </w:tcPr>
          <w:p w:rsidR="008423E4" w:rsidRPr="0022177D" w:rsidRDefault="007C2C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C2CDF" w:rsidP="008423E4">
      <w:pPr>
        <w:jc w:val="center"/>
      </w:pPr>
    </w:p>
    <w:p w:rsidR="008423E4" w:rsidRPr="00B31F0E" w:rsidRDefault="007C2CDF" w:rsidP="008423E4"/>
    <w:p w:rsidR="008423E4" w:rsidRPr="00742794" w:rsidRDefault="007C2C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376A" w:rsidTr="00345119">
        <w:tc>
          <w:tcPr>
            <w:tcW w:w="9576" w:type="dxa"/>
          </w:tcPr>
          <w:p w:rsidR="008423E4" w:rsidRPr="00861995" w:rsidRDefault="007C2CDF" w:rsidP="00345119">
            <w:pPr>
              <w:jc w:val="right"/>
            </w:pPr>
            <w:r>
              <w:t>S.B. 80</w:t>
            </w:r>
          </w:p>
        </w:tc>
      </w:tr>
      <w:tr w:rsidR="00E8376A" w:rsidTr="00345119">
        <w:tc>
          <w:tcPr>
            <w:tcW w:w="9576" w:type="dxa"/>
          </w:tcPr>
          <w:p w:rsidR="008423E4" w:rsidRPr="00861995" w:rsidRDefault="007C2CDF" w:rsidP="005F1860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E8376A" w:rsidTr="00345119">
        <w:tc>
          <w:tcPr>
            <w:tcW w:w="9576" w:type="dxa"/>
          </w:tcPr>
          <w:p w:rsidR="008423E4" w:rsidRPr="00861995" w:rsidRDefault="007C2CDF" w:rsidP="00345119">
            <w:pPr>
              <w:jc w:val="right"/>
            </w:pPr>
            <w:r>
              <w:t>Appropriations</w:t>
            </w:r>
          </w:p>
        </w:tc>
      </w:tr>
      <w:tr w:rsidR="00E8376A" w:rsidTr="00345119">
        <w:tc>
          <w:tcPr>
            <w:tcW w:w="9576" w:type="dxa"/>
          </w:tcPr>
          <w:p w:rsidR="008423E4" w:rsidRDefault="007C2CD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C2CDF" w:rsidP="008423E4">
      <w:pPr>
        <w:tabs>
          <w:tab w:val="right" w:pos="9360"/>
        </w:tabs>
      </w:pPr>
    </w:p>
    <w:p w:rsidR="008423E4" w:rsidRDefault="007C2CDF" w:rsidP="008423E4"/>
    <w:p w:rsidR="008423E4" w:rsidRDefault="007C2C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376A" w:rsidTr="00345119">
        <w:tc>
          <w:tcPr>
            <w:tcW w:w="9576" w:type="dxa"/>
          </w:tcPr>
          <w:p w:rsidR="008423E4" w:rsidRPr="00A8133F" w:rsidRDefault="007C2CDF" w:rsidP="003803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C2CDF" w:rsidP="003803CC"/>
          <w:p w:rsidR="008423E4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raise concerns regarding</w:t>
            </w:r>
            <w:r>
              <w:t xml:space="preserve"> reporting requirements that no longer serve their intended purpose or are redundant of other reporting requirements. S</w:t>
            </w:r>
            <w:r>
              <w:t>.</w:t>
            </w:r>
            <w:r>
              <w:t>B</w:t>
            </w:r>
            <w:r>
              <w:t>.</w:t>
            </w:r>
            <w:r>
              <w:t xml:space="preserve"> 80</w:t>
            </w:r>
            <w:r>
              <w:t xml:space="preserve"> seeks to address those concerns by streamlining certain reporting requirements applicable to </w:t>
            </w:r>
            <w:r>
              <w:t>state agencies and other governmental</w:t>
            </w:r>
            <w:r>
              <w:t xml:space="preserve"> entities.</w:t>
            </w:r>
          </w:p>
          <w:p w:rsidR="008423E4" w:rsidRPr="00E26B13" w:rsidRDefault="007C2CDF" w:rsidP="003803CC">
            <w:pPr>
              <w:rPr>
                <w:b/>
              </w:rPr>
            </w:pPr>
          </w:p>
        </w:tc>
      </w:tr>
      <w:tr w:rsidR="00E8376A" w:rsidTr="00345119">
        <w:tc>
          <w:tcPr>
            <w:tcW w:w="9576" w:type="dxa"/>
          </w:tcPr>
          <w:p w:rsidR="0017725B" w:rsidRDefault="007C2CDF" w:rsidP="003803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C2CDF" w:rsidP="003803CC">
            <w:pPr>
              <w:rPr>
                <w:b/>
                <w:u w:val="single"/>
              </w:rPr>
            </w:pPr>
          </w:p>
          <w:p w:rsidR="00A0770C" w:rsidRPr="00A0770C" w:rsidRDefault="007C2CDF" w:rsidP="003803C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:rsidR="0017725B" w:rsidRPr="0017725B" w:rsidRDefault="007C2CDF" w:rsidP="003803CC">
            <w:pPr>
              <w:rPr>
                <w:b/>
                <w:u w:val="single"/>
              </w:rPr>
            </w:pPr>
          </w:p>
        </w:tc>
      </w:tr>
      <w:tr w:rsidR="00E8376A" w:rsidTr="00345119">
        <w:tc>
          <w:tcPr>
            <w:tcW w:w="9576" w:type="dxa"/>
          </w:tcPr>
          <w:p w:rsidR="008423E4" w:rsidRPr="00A8133F" w:rsidRDefault="007C2CDF" w:rsidP="003803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C2CDF" w:rsidP="003803CC"/>
          <w:p w:rsidR="00A0770C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C2CDF" w:rsidP="003803CC">
            <w:pPr>
              <w:rPr>
                <w:b/>
              </w:rPr>
            </w:pPr>
          </w:p>
        </w:tc>
      </w:tr>
      <w:tr w:rsidR="00E8376A" w:rsidTr="00345119">
        <w:tc>
          <w:tcPr>
            <w:tcW w:w="9576" w:type="dxa"/>
          </w:tcPr>
          <w:p w:rsidR="008423E4" w:rsidRPr="00A8133F" w:rsidRDefault="007C2CDF" w:rsidP="003803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7C2CDF" w:rsidP="003803CC"/>
          <w:p w:rsidR="008423E4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80 </w:t>
            </w:r>
            <w:r>
              <w:t>amends the Education Code to</w:t>
            </w:r>
            <w:r>
              <w:t xml:space="preserve"> remove the requirement that the Educational Economic Policy Center provide annual progress report</w:t>
            </w:r>
            <w:r>
              <w:t>s</w:t>
            </w:r>
            <w:r>
              <w:t xml:space="preserve"> </w:t>
            </w:r>
            <w:r>
              <w:t xml:space="preserve">regarding </w:t>
            </w:r>
            <w:r>
              <w:t xml:space="preserve">the </w:t>
            </w:r>
            <w:r>
              <w:t xml:space="preserve">implementation of the public school accountability system </w:t>
            </w:r>
            <w:r>
              <w:t xml:space="preserve">to the governor, </w:t>
            </w:r>
            <w:r>
              <w:t xml:space="preserve">the </w:t>
            </w:r>
            <w:r>
              <w:t>Legislative Budget Board</w:t>
            </w:r>
            <w:r>
              <w:t xml:space="preserve"> (L</w:t>
            </w:r>
            <w:r>
              <w:t>BB)</w:t>
            </w:r>
            <w:r>
              <w:t xml:space="preserve">, and </w:t>
            </w:r>
            <w:r>
              <w:t xml:space="preserve">the </w:t>
            </w:r>
            <w:r>
              <w:t>commissioner of education.</w:t>
            </w:r>
          </w:p>
          <w:p w:rsidR="005A741C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83BE9" w:rsidRDefault="007C2CDF" w:rsidP="003803CC">
            <w:pPr>
              <w:pStyle w:val="Header"/>
              <w:tabs>
                <w:tab w:val="clear" w:pos="4320"/>
                <w:tab w:val="clear" w:pos="8640"/>
                <w:tab w:val="left" w:pos="4872"/>
              </w:tabs>
              <w:jc w:val="both"/>
            </w:pPr>
            <w:r>
              <w:t xml:space="preserve">S.B. 80 </w:t>
            </w:r>
            <w:r>
              <w:t>amends the Government Code to</w:t>
            </w:r>
            <w:r>
              <w:t xml:space="preserve"> </w:t>
            </w:r>
            <w:r>
              <w:t>replace the abolished</w:t>
            </w:r>
            <w:r>
              <w:t xml:space="preserve"> </w:t>
            </w:r>
            <w:r>
              <w:t>Texas System of Care Consortium with the Health and Human Services Commission (HHSC) as the entity to which</w:t>
            </w:r>
            <w:r>
              <w:t xml:space="preserve"> reports </w:t>
            </w:r>
            <w:r>
              <w:t>on the provision of systems of care ser</w:t>
            </w:r>
            <w:r>
              <w:t xml:space="preserve">vices for certain children are </w:t>
            </w:r>
            <w:r>
              <w:t>submitted by community resource coordination groups</w:t>
            </w:r>
            <w:r>
              <w:t xml:space="preserve"> and as the entity responsible for creating a related summary report</w:t>
            </w:r>
            <w:r>
              <w:t xml:space="preserve">. </w:t>
            </w:r>
            <w:r>
              <w:t>The bill</w:t>
            </w:r>
            <w:r>
              <w:t xml:space="preserve"> removes the Sunset Advisory Commission from the entities </w:t>
            </w:r>
            <w:r>
              <w:t xml:space="preserve">to which </w:t>
            </w:r>
            <w:r>
              <w:t>an applicable state agency is</w:t>
            </w:r>
            <w:r>
              <w:t xml:space="preserve"> required to send a copy of its strategic plan of operation</w:t>
            </w:r>
            <w:r>
              <w:t>,</w:t>
            </w:r>
            <w:r>
              <w:t xml:space="preserve"> to which </w:t>
            </w:r>
            <w:r>
              <w:t>a</w:t>
            </w:r>
            <w:r>
              <w:t>n applicable</w:t>
            </w:r>
            <w:r>
              <w:t xml:space="preserve"> state agency's </w:t>
            </w:r>
            <w:r>
              <w:t xml:space="preserve">internal auditor is required to submit </w:t>
            </w:r>
            <w:r>
              <w:t xml:space="preserve">its </w:t>
            </w:r>
            <w:r>
              <w:t xml:space="preserve">annual report </w:t>
            </w:r>
            <w:r>
              <w:t>under the Texas Internal Auditing Act</w:t>
            </w:r>
            <w:r>
              <w:t>, and with which an applicable state agency is required to file</w:t>
            </w:r>
            <w:r>
              <w:t xml:space="preserve"> a copy of each report submitted to the agency by the agency's internal auditor under the same act</w:t>
            </w:r>
            <w:r>
              <w:t>.</w:t>
            </w:r>
            <w:r>
              <w:t xml:space="preserve"> The bill </w:t>
            </w:r>
            <w:r>
              <w:t>excludes</w:t>
            </w:r>
            <w:r>
              <w:t xml:space="preserve"> the</w:t>
            </w:r>
            <w:r w:rsidRPr="00583BE9">
              <w:t xml:space="preserve"> governing body of the Department of Aging and Disability Services or its successor agency</w:t>
            </w:r>
            <w:r>
              <w:t xml:space="preserve"> </w:t>
            </w:r>
            <w:r>
              <w:t>as a recipient of the annual progress report</w:t>
            </w:r>
            <w:r>
              <w:t xml:space="preserve"> submitted by </w:t>
            </w:r>
            <w:r>
              <w:t>the Texas Interagency Council for the Homeless.</w:t>
            </w:r>
          </w:p>
          <w:p w:rsidR="002258D6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EF1136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80 </w:t>
            </w:r>
            <w:r>
              <w:t>amends the Health and Safety Code to</w:t>
            </w:r>
            <w:r>
              <w:t xml:space="preserve"> </w:t>
            </w:r>
            <w:r>
              <w:t>remove</w:t>
            </w:r>
            <w:r>
              <w:t xml:space="preserve"> </w:t>
            </w:r>
            <w:r>
              <w:t>information f</w:t>
            </w:r>
            <w:r>
              <w:t>rom</w:t>
            </w:r>
            <w:r>
              <w:t xml:space="preserve"> </w:t>
            </w:r>
            <w:r>
              <w:t xml:space="preserve">programs implemented by the </w:t>
            </w:r>
            <w:r>
              <w:t xml:space="preserve">state energy conservation </w:t>
            </w:r>
            <w:r>
              <w:t xml:space="preserve">office </w:t>
            </w:r>
            <w:r>
              <w:t xml:space="preserve">from </w:t>
            </w:r>
            <w:r>
              <w:t>the required contents of</w:t>
            </w:r>
            <w:r>
              <w:t xml:space="preserve"> the annual report </w:t>
            </w:r>
            <w:r>
              <w:t xml:space="preserve">provided by </w:t>
            </w:r>
            <w:r>
              <w:t>the Public U</w:t>
            </w:r>
            <w:r>
              <w:t>t</w:t>
            </w:r>
            <w:r>
              <w:t>ility C</w:t>
            </w:r>
            <w:r>
              <w:t xml:space="preserve">ommission </w:t>
            </w:r>
            <w:r>
              <w:t>of Texas</w:t>
            </w:r>
            <w:r>
              <w:t xml:space="preserve"> (PUC)</w:t>
            </w:r>
            <w:r>
              <w:t xml:space="preserve"> </w:t>
            </w:r>
            <w:r>
              <w:t xml:space="preserve">to </w:t>
            </w:r>
            <w:r>
              <w:t xml:space="preserve">the </w:t>
            </w:r>
            <w:r w:rsidRPr="00E30A82">
              <w:t xml:space="preserve">Texas </w:t>
            </w:r>
            <w:r>
              <w:t>Commission on Environmental Quality</w:t>
            </w:r>
            <w:r>
              <w:t xml:space="preserve"> (TCEQ)</w:t>
            </w:r>
            <w:r>
              <w:t xml:space="preserve"> evaluating PUC energy efficiency programs.</w:t>
            </w:r>
          </w:p>
          <w:p w:rsidR="008C76BA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C76BA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80 amends the Human Resources Code to remove</w:t>
            </w:r>
            <w:r>
              <w:t xml:space="preserve"> the executive commissioner of </w:t>
            </w:r>
            <w:r>
              <w:t xml:space="preserve">HHSC </w:t>
            </w:r>
            <w:r>
              <w:t>fro</w:t>
            </w:r>
            <w:r>
              <w:t>m</w:t>
            </w:r>
            <w:r>
              <w:t xml:space="preserve"> </w:t>
            </w:r>
            <w:r>
              <w:t>t</w:t>
            </w:r>
            <w:r>
              <w:t>he entities to which</w:t>
            </w:r>
            <w:r>
              <w:t xml:space="preserve"> </w:t>
            </w:r>
            <w:r>
              <w:t>the Texas Council on Autism and Pervasive Developmental Disorders</w:t>
            </w:r>
            <w:r>
              <w:t xml:space="preserve"> </w:t>
            </w:r>
            <w:r>
              <w:lastRenderedPageBreak/>
              <w:t xml:space="preserve">is required to deliver a biennial report </w:t>
            </w:r>
            <w:r>
              <w:t xml:space="preserve">summarizing </w:t>
            </w:r>
            <w:r w:rsidRPr="008C76BA">
              <w:t>requirements the council identifies and recommendations for providing additional or improved services to persons with autism or other pe</w:t>
            </w:r>
            <w:r w:rsidRPr="008C76BA">
              <w:t>rvasive developmental disorders</w:t>
            </w:r>
            <w:r>
              <w:t>.</w:t>
            </w:r>
          </w:p>
          <w:p w:rsidR="00E669D5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35317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80 amends the Utilities Code to remove the Sunset Advisory Commission from the entities to which the O</w:t>
            </w:r>
            <w:r>
              <w:t>ffice</w:t>
            </w:r>
            <w:r>
              <w:t xml:space="preserve"> of Public Utility Counsel </w:t>
            </w:r>
            <w:r>
              <w:t xml:space="preserve">is required to submit an annual report </w:t>
            </w:r>
            <w:r w:rsidRPr="00535317">
              <w:t>on the office's activities during the preced</w:t>
            </w:r>
            <w:r w:rsidRPr="00535317">
              <w:t>ing year</w:t>
            </w:r>
            <w:r>
              <w:t>.</w:t>
            </w:r>
          </w:p>
          <w:p w:rsidR="001F7714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5A741C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80 </w:t>
            </w:r>
            <w:r>
              <w:t xml:space="preserve">amends </w:t>
            </w:r>
            <w:r w:rsidRPr="00EF1136">
              <w:t>Section 13, Chapter 1282 (H.B. 2), Acts of the 84th Legislature, Regular Session, 2015,</w:t>
            </w:r>
            <w:r>
              <w:t xml:space="preserve"> to </w:t>
            </w:r>
            <w:r>
              <w:t xml:space="preserve">remove the requirement that the executive commissioner of </w:t>
            </w:r>
            <w:r>
              <w:t>HHSC</w:t>
            </w:r>
            <w:r>
              <w:t xml:space="preserve"> </w:t>
            </w:r>
            <w:r>
              <w:t xml:space="preserve">submit a report to the </w:t>
            </w:r>
            <w:r>
              <w:t>LBB</w:t>
            </w:r>
            <w:r>
              <w:t xml:space="preserve"> that specifies certain information regarding adj</w:t>
            </w:r>
            <w:r>
              <w:t xml:space="preserve">ustments to Medicaid capitation payments to </w:t>
            </w:r>
            <w:r>
              <w:t xml:space="preserve">Medicaid </w:t>
            </w:r>
            <w:r>
              <w:t>managed care organizations b</w:t>
            </w:r>
            <w:r>
              <w:t xml:space="preserve">efore </w:t>
            </w:r>
            <w:r>
              <w:t>HHSC</w:t>
            </w:r>
            <w:r>
              <w:t xml:space="preserve"> makes any </w:t>
            </w:r>
            <w:r>
              <w:t xml:space="preserve">such </w:t>
            </w:r>
            <w:r>
              <w:t>capitation payments</w:t>
            </w:r>
            <w:r>
              <w:t>.</w:t>
            </w:r>
          </w:p>
          <w:p w:rsidR="00F916A6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F916A6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80 repeals </w:t>
            </w:r>
            <w:r>
              <w:t xml:space="preserve">the </w:t>
            </w:r>
            <w:r>
              <w:t xml:space="preserve">following: the </w:t>
            </w:r>
            <w:r>
              <w:t>requirement that</w:t>
            </w:r>
            <w:r>
              <w:t xml:space="preserve"> the </w:t>
            </w:r>
            <w:r w:rsidRPr="00E417EE">
              <w:t>Family Practice Residency Advisory Committee</w:t>
            </w:r>
            <w:r>
              <w:t xml:space="preserve"> </w:t>
            </w:r>
            <w:r w:rsidRPr="00E417EE">
              <w:t>send copies</w:t>
            </w:r>
            <w:r>
              <w:t xml:space="preserve"> of its annual assessment of</w:t>
            </w:r>
            <w:r w:rsidRPr="00E417EE">
              <w:t xml:space="preserve"> </w:t>
            </w:r>
            <w:r>
              <w:t xml:space="preserve">family practice residency training </w:t>
            </w:r>
            <w:r w:rsidRPr="00E417EE">
              <w:t>pilot programs</w:t>
            </w:r>
            <w:r>
              <w:t xml:space="preserve"> </w:t>
            </w:r>
            <w:r w:rsidRPr="00E417EE">
              <w:t>to the comptroller</w:t>
            </w:r>
            <w:r>
              <w:t xml:space="preserve"> of public accounts</w:t>
            </w:r>
            <w:r w:rsidRPr="00E417EE">
              <w:t xml:space="preserve"> and the state auditor</w:t>
            </w:r>
            <w:r>
              <w:t xml:space="preserve"> for review</w:t>
            </w:r>
            <w:r>
              <w:t xml:space="preserve">; </w:t>
            </w:r>
            <w:r>
              <w:t>the requirement that</w:t>
            </w:r>
            <w:r>
              <w:t xml:space="preserve"> the residential mortgage fraud task force</w:t>
            </w:r>
            <w:r w:rsidRPr="00E417EE">
              <w:t xml:space="preserve"> </w:t>
            </w:r>
            <w:r>
              <w:t>submit a</w:t>
            </w:r>
            <w:r>
              <w:t>n</w:t>
            </w:r>
            <w:r>
              <w:t xml:space="preserve"> annual </w:t>
            </w:r>
            <w:r>
              <w:t xml:space="preserve">progress </w:t>
            </w:r>
            <w:r>
              <w:t xml:space="preserve">report to </w:t>
            </w:r>
            <w:r w:rsidRPr="00960483">
              <w:t>the go</w:t>
            </w:r>
            <w:r w:rsidRPr="00960483">
              <w:t>vernor, lieutenant governor, and speaker of the house of representatives</w:t>
            </w:r>
            <w:r>
              <w:t xml:space="preserve">; </w:t>
            </w:r>
            <w:r>
              <w:t>the requirement that</w:t>
            </w:r>
            <w:r>
              <w:t xml:space="preserve"> the comptroller</w:t>
            </w:r>
            <w:r>
              <w:t xml:space="preserve"> </w:t>
            </w:r>
            <w:r>
              <w:t xml:space="preserve">submit </w:t>
            </w:r>
            <w:r>
              <w:t xml:space="preserve">a certain report relating to eminent domain to </w:t>
            </w:r>
            <w:r w:rsidRPr="00960483">
              <w:t>the governor, the lieutenant governor, the speaker of the house of representatives, the pre</w:t>
            </w:r>
            <w:r w:rsidRPr="00960483">
              <w:t>siding officers of the appropriate standing committees of the senate and the house of representatives, and the Texas Legislative Council</w:t>
            </w:r>
            <w:r>
              <w:t xml:space="preserve">; </w:t>
            </w:r>
            <w:r>
              <w:t>the</w:t>
            </w:r>
            <w:r>
              <w:t xml:space="preserve"> requirement that the </w:t>
            </w:r>
            <w:r w:rsidRPr="00D260E0">
              <w:t>pollutio</w:t>
            </w:r>
            <w:r>
              <w:t>n prevention advisory committee report quarterly to TCEQ on its activities</w:t>
            </w:r>
            <w:r>
              <w:t xml:space="preserve">; </w:t>
            </w:r>
            <w:r>
              <w:t>the requi</w:t>
            </w:r>
            <w:r>
              <w:t xml:space="preserve">rement </w:t>
            </w:r>
            <w:r>
              <w:t>that</w:t>
            </w:r>
            <w:r>
              <w:t xml:space="preserve"> </w:t>
            </w:r>
            <w:r>
              <w:t>HHSC submit to the governor and the LBB an annual report on the operation and success of the</w:t>
            </w:r>
            <w:r>
              <w:t xml:space="preserve"> telephone collection program</w:t>
            </w:r>
            <w:r>
              <w:t>;</w:t>
            </w:r>
            <w:r>
              <w:t xml:space="preserve"> </w:t>
            </w:r>
            <w:r>
              <w:t>and</w:t>
            </w:r>
            <w:r>
              <w:t xml:space="preserve"> the </w:t>
            </w:r>
            <w:r>
              <w:t xml:space="preserve">requirement </w:t>
            </w:r>
            <w:r>
              <w:t>that</w:t>
            </w:r>
            <w:r>
              <w:t xml:space="preserve"> </w:t>
            </w:r>
            <w:r>
              <w:t>TCEQ</w:t>
            </w:r>
            <w:r>
              <w:t xml:space="preserve"> </w:t>
            </w:r>
            <w:r w:rsidRPr="0054096F">
              <w:t xml:space="preserve">report to the </w:t>
            </w:r>
            <w:r>
              <w:t>LBB</w:t>
            </w:r>
            <w:r w:rsidRPr="0054096F">
              <w:t xml:space="preserve"> at the end of each fiscal quarter on the financial status of the petroleum storage tank remediation account</w:t>
            </w:r>
            <w:r>
              <w:t>.</w:t>
            </w:r>
          </w:p>
          <w:p w:rsidR="001F6DDD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A741C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80 repeals</w:t>
            </w:r>
            <w:r>
              <w:t xml:space="preserve"> the following provisions</w:t>
            </w:r>
            <w:r>
              <w:t>:</w:t>
            </w:r>
          </w:p>
          <w:p w:rsidR="00A65765" w:rsidRDefault="007C2CDF" w:rsidP="003803C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A65765">
              <w:t>61.506(g), Education Code</w:t>
            </w:r>
          </w:p>
          <w:p w:rsidR="00A65765" w:rsidRDefault="007C2CDF" w:rsidP="003803C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65765">
              <w:t>Sections 402.032(g) and 2206.101(d), Government Code</w:t>
            </w:r>
          </w:p>
          <w:p w:rsidR="00A65765" w:rsidRDefault="007C2CDF" w:rsidP="003803CC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A65765">
              <w:t xml:space="preserve">Section </w:t>
            </w:r>
            <w:r w:rsidRPr="00A65765">
              <w:t>361.0215(d), Health and Safety Code</w:t>
            </w:r>
          </w:p>
          <w:p w:rsidR="005A741C" w:rsidRDefault="007C2CDF" w:rsidP="003803C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22.0252(b), Human Resources Code</w:t>
            </w:r>
          </w:p>
          <w:p w:rsidR="005A741C" w:rsidRDefault="007C2CDF" w:rsidP="003803C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26.3574(x), Water Code</w:t>
            </w:r>
          </w:p>
          <w:p w:rsidR="008423E4" w:rsidRPr="00835628" w:rsidRDefault="007C2CDF" w:rsidP="003803CC">
            <w:pPr>
              <w:rPr>
                <w:b/>
              </w:rPr>
            </w:pPr>
          </w:p>
        </w:tc>
      </w:tr>
      <w:tr w:rsidR="00E8376A" w:rsidTr="00345119">
        <w:tc>
          <w:tcPr>
            <w:tcW w:w="9576" w:type="dxa"/>
          </w:tcPr>
          <w:p w:rsidR="008423E4" w:rsidRPr="00A8133F" w:rsidRDefault="007C2CDF" w:rsidP="003803CC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C2CDF" w:rsidP="003803CC"/>
          <w:p w:rsidR="008423E4" w:rsidRPr="00233FDB" w:rsidRDefault="007C2CDF" w:rsidP="003803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BE0E75" w:rsidRDefault="007C2CD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C2CDF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2CDF">
      <w:r>
        <w:separator/>
      </w:r>
    </w:p>
  </w:endnote>
  <w:endnote w:type="continuationSeparator" w:id="0">
    <w:p w:rsidR="00000000" w:rsidRDefault="007C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376A" w:rsidTr="009C1E9A">
      <w:trPr>
        <w:cantSplit/>
      </w:trPr>
      <w:tc>
        <w:tcPr>
          <w:tcW w:w="0" w:type="pct"/>
        </w:tcPr>
        <w:p w:rsidR="00137D90" w:rsidRDefault="007C2C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C2C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C2C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C2C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C2C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376A" w:rsidTr="009C1E9A">
      <w:trPr>
        <w:cantSplit/>
      </w:trPr>
      <w:tc>
        <w:tcPr>
          <w:tcW w:w="0" w:type="pct"/>
        </w:tcPr>
        <w:p w:rsidR="00EC379B" w:rsidRDefault="007C2C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C2CD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27335</w:t>
          </w:r>
        </w:p>
      </w:tc>
      <w:tc>
        <w:tcPr>
          <w:tcW w:w="2453" w:type="pct"/>
        </w:tcPr>
        <w:p w:rsidR="00EC379B" w:rsidRDefault="007C2C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17.121.361</w:t>
          </w:r>
          <w:r>
            <w:fldChar w:fldCharType="end"/>
          </w:r>
        </w:p>
      </w:tc>
    </w:tr>
    <w:tr w:rsidR="00E8376A" w:rsidTr="009C1E9A">
      <w:trPr>
        <w:cantSplit/>
      </w:trPr>
      <w:tc>
        <w:tcPr>
          <w:tcW w:w="0" w:type="pct"/>
        </w:tcPr>
        <w:p w:rsidR="00EC379B" w:rsidRDefault="007C2C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C2C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C2CDF" w:rsidP="006D504F">
          <w:pPr>
            <w:pStyle w:val="Footer"/>
            <w:rPr>
              <w:rStyle w:val="PageNumber"/>
            </w:rPr>
          </w:pPr>
        </w:p>
        <w:p w:rsidR="00EC379B" w:rsidRDefault="007C2C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37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C2C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C2C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C2C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2CDF">
      <w:r>
        <w:separator/>
      </w:r>
    </w:p>
  </w:footnote>
  <w:footnote w:type="continuationSeparator" w:id="0">
    <w:p w:rsidR="00000000" w:rsidRDefault="007C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2227"/>
    <w:multiLevelType w:val="hybridMultilevel"/>
    <w:tmpl w:val="EC16C406"/>
    <w:lvl w:ilvl="0" w:tplc="B7EAF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2B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CD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8B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C1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4A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CE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C8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E4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37BD4"/>
    <w:multiLevelType w:val="hybridMultilevel"/>
    <w:tmpl w:val="A4A8425E"/>
    <w:lvl w:ilvl="0" w:tplc="D662F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45B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44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6C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28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CB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A9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40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1A74"/>
    <w:multiLevelType w:val="hybridMultilevel"/>
    <w:tmpl w:val="2346B672"/>
    <w:lvl w:ilvl="0" w:tplc="F4C85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4C5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08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0B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EF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D20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AB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0C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74A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43CE4"/>
    <w:multiLevelType w:val="hybridMultilevel"/>
    <w:tmpl w:val="90D025FE"/>
    <w:lvl w:ilvl="0" w:tplc="FE361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E9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A3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2C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65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2C5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C5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8B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05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6A"/>
    <w:rsid w:val="007C2CDF"/>
    <w:rsid w:val="00E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74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741C"/>
  </w:style>
  <w:style w:type="paragraph" w:styleId="CommentSubject">
    <w:name w:val="annotation subject"/>
    <w:basedOn w:val="CommentText"/>
    <w:next w:val="CommentText"/>
    <w:link w:val="CommentSubjectChar"/>
    <w:rsid w:val="005A7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741C"/>
    <w:rPr>
      <w:b/>
      <w:bCs/>
    </w:rPr>
  </w:style>
  <w:style w:type="paragraph" w:styleId="Revision">
    <w:name w:val="Revision"/>
    <w:hidden/>
    <w:uiPriority w:val="99"/>
    <w:semiHidden/>
    <w:rsid w:val="00DE7BE6"/>
    <w:rPr>
      <w:sz w:val="24"/>
      <w:szCs w:val="24"/>
    </w:rPr>
  </w:style>
  <w:style w:type="character" w:styleId="Hyperlink">
    <w:name w:val="Hyperlink"/>
    <w:basedOn w:val="DefaultParagraphFont"/>
    <w:rsid w:val="00447D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6B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74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741C"/>
  </w:style>
  <w:style w:type="paragraph" w:styleId="CommentSubject">
    <w:name w:val="annotation subject"/>
    <w:basedOn w:val="CommentText"/>
    <w:next w:val="CommentText"/>
    <w:link w:val="CommentSubjectChar"/>
    <w:rsid w:val="005A7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741C"/>
    <w:rPr>
      <w:b/>
      <w:bCs/>
    </w:rPr>
  </w:style>
  <w:style w:type="paragraph" w:styleId="Revision">
    <w:name w:val="Revision"/>
    <w:hidden/>
    <w:uiPriority w:val="99"/>
    <w:semiHidden/>
    <w:rsid w:val="00DE7BE6"/>
    <w:rPr>
      <w:sz w:val="24"/>
      <w:szCs w:val="24"/>
    </w:rPr>
  </w:style>
  <w:style w:type="character" w:styleId="Hyperlink">
    <w:name w:val="Hyperlink"/>
    <w:basedOn w:val="DefaultParagraphFont"/>
    <w:rsid w:val="00447D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6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4281</Characters>
  <Application>Microsoft Office Word</Application>
  <DocSecurity>4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SB00080 (Committee Report (Unamended))</vt:lpstr>
    </vt:vector>
  </TitlesOfParts>
  <Company>State of Texas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27335</dc:subject>
  <dc:creator>State of Texas</dc:creator>
  <dc:description>SB 80 by Nelson-(H)Appropriations</dc:description>
  <cp:lastModifiedBy>Alexander McMillan</cp:lastModifiedBy>
  <cp:revision>2</cp:revision>
  <cp:lastPrinted>2017-05-02T17:50:00Z</cp:lastPrinted>
  <dcterms:created xsi:type="dcterms:W3CDTF">2017-05-17T20:34:00Z</dcterms:created>
  <dcterms:modified xsi:type="dcterms:W3CDTF">2017-05-17T20:34:00Z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17.121.361</vt:lpwstr>
  </property>
</Properties>
</file>