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BC" w:rsidRDefault="00F214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0BC095A6964417BC92D17055C1C4B7"/>
          </w:placeholder>
        </w:sdtPr>
        <w:sdtContent>
          <w:r w:rsidRPr="005C2A78">
            <w:rPr>
              <w:rFonts w:cs="Times New Roman"/>
              <w:b/>
              <w:szCs w:val="24"/>
              <w:u w:val="single"/>
            </w:rPr>
            <w:t>BILL ANALYSIS</w:t>
          </w:r>
        </w:sdtContent>
      </w:sdt>
    </w:p>
    <w:p w:rsidR="00F214BC" w:rsidRPr="00585C31" w:rsidRDefault="00F214BC" w:rsidP="000F1DF9">
      <w:pPr>
        <w:spacing w:after="0" w:line="240" w:lineRule="auto"/>
        <w:rPr>
          <w:rFonts w:cs="Times New Roman"/>
          <w:szCs w:val="24"/>
        </w:rPr>
      </w:pPr>
    </w:p>
    <w:p w:rsidR="00F214BC" w:rsidRPr="00585C31" w:rsidRDefault="00F214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14BC" w:rsidTr="000F1DF9">
        <w:tc>
          <w:tcPr>
            <w:tcW w:w="2718" w:type="dxa"/>
          </w:tcPr>
          <w:p w:rsidR="00F214BC" w:rsidRPr="005C2A78" w:rsidRDefault="00F214BC" w:rsidP="006D756B">
            <w:pPr>
              <w:rPr>
                <w:rFonts w:cs="Times New Roman"/>
                <w:szCs w:val="24"/>
              </w:rPr>
            </w:pPr>
            <w:sdt>
              <w:sdtPr>
                <w:rPr>
                  <w:rFonts w:cs="Times New Roman"/>
                  <w:szCs w:val="24"/>
                </w:rPr>
                <w:alias w:val="Agency Title"/>
                <w:tag w:val="AgencyTitleContentControl"/>
                <w:id w:val="1920747753"/>
                <w:lock w:val="sdtContentLocked"/>
                <w:placeholder>
                  <w:docPart w:val="5CB5A49D006A41B3B0A2E9C7D8AC6367"/>
                </w:placeholder>
              </w:sdtPr>
              <w:sdtEndPr>
                <w:rPr>
                  <w:rFonts w:cstheme="minorBidi"/>
                  <w:szCs w:val="22"/>
                </w:rPr>
              </w:sdtEndPr>
              <w:sdtContent>
                <w:r>
                  <w:rPr>
                    <w:rFonts w:cs="Times New Roman"/>
                    <w:szCs w:val="24"/>
                  </w:rPr>
                  <w:t>Senate Research Center</w:t>
                </w:r>
              </w:sdtContent>
            </w:sdt>
          </w:p>
        </w:tc>
        <w:tc>
          <w:tcPr>
            <w:tcW w:w="6858" w:type="dxa"/>
          </w:tcPr>
          <w:p w:rsidR="00F214BC" w:rsidRPr="00FF6471" w:rsidRDefault="00F214BC" w:rsidP="000F1DF9">
            <w:pPr>
              <w:jc w:val="right"/>
              <w:rPr>
                <w:rFonts w:cs="Times New Roman"/>
                <w:szCs w:val="24"/>
              </w:rPr>
            </w:pPr>
            <w:sdt>
              <w:sdtPr>
                <w:rPr>
                  <w:rFonts w:cs="Times New Roman"/>
                  <w:szCs w:val="24"/>
                </w:rPr>
                <w:alias w:val="Bill Number"/>
                <w:tag w:val="BillNumberOne"/>
                <w:id w:val="-410784069"/>
                <w:lock w:val="sdtContentLocked"/>
                <w:placeholder>
                  <w:docPart w:val="081CE18760304FBF974B225915B5767F"/>
                </w:placeholder>
              </w:sdtPr>
              <w:sdtContent>
                <w:r>
                  <w:rPr>
                    <w:rFonts w:cs="Times New Roman"/>
                    <w:szCs w:val="24"/>
                  </w:rPr>
                  <w:t>C.S.S.B. 226</w:t>
                </w:r>
              </w:sdtContent>
            </w:sdt>
          </w:p>
        </w:tc>
      </w:tr>
      <w:tr w:rsidR="00F214BC" w:rsidTr="000F1DF9">
        <w:sdt>
          <w:sdtPr>
            <w:rPr>
              <w:rFonts w:cs="Times New Roman"/>
              <w:szCs w:val="24"/>
            </w:rPr>
            <w:alias w:val="TLCNumber"/>
            <w:tag w:val="TLCNumber"/>
            <w:id w:val="-542600604"/>
            <w:lock w:val="sdtLocked"/>
            <w:placeholder>
              <w:docPart w:val="3F097F2234A140F0B999858AE31351D5"/>
            </w:placeholder>
          </w:sdtPr>
          <w:sdtContent>
            <w:tc>
              <w:tcPr>
                <w:tcW w:w="2718" w:type="dxa"/>
              </w:tcPr>
              <w:p w:rsidR="00F214BC" w:rsidRPr="000F1DF9" w:rsidRDefault="00F214BC" w:rsidP="008D578B">
                <w:pPr>
                  <w:rPr>
                    <w:rFonts w:cs="Times New Roman"/>
                    <w:szCs w:val="24"/>
                  </w:rPr>
                </w:pPr>
                <w:r>
                  <w:rPr>
                    <w:rFonts w:cs="Times New Roman"/>
                    <w:szCs w:val="24"/>
                  </w:rPr>
                  <w:t>85R20005 SLB-D</w:t>
                </w:r>
              </w:p>
            </w:tc>
          </w:sdtContent>
        </w:sdt>
        <w:tc>
          <w:tcPr>
            <w:tcW w:w="6858" w:type="dxa"/>
          </w:tcPr>
          <w:p w:rsidR="00F214BC" w:rsidRPr="005C2A78" w:rsidRDefault="00F214BC" w:rsidP="006D756B">
            <w:pPr>
              <w:jc w:val="right"/>
              <w:rPr>
                <w:rFonts w:cs="Times New Roman"/>
                <w:szCs w:val="24"/>
              </w:rPr>
            </w:pPr>
            <w:sdt>
              <w:sdtPr>
                <w:rPr>
                  <w:rFonts w:cs="Times New Roman"/>
                  <w:szCs w:val="24"/>
                </w:rPr>
                <w:alias w:val="Author Label"/>
                <w:tag w:val="By"/>
                <w:id w:val="72399597"/>
                <w:lock w:val="sdtLocked"/>
                <w:placeholder>
                  <w:docPart w:val="33122EA3CDD24AD790992B8CFC04B7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A7C9E453254DD494E1343607B157E0"/>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B9D23E28CF314E4F967AFA7A61430694"/>
                </w:placeholder>
                <w:showingPlcHdr/>
              </w:sdtPr>
              <w:sdtContent/>
            </w:sdt>
          </w:p>
        </w:tc>
      </w:tr>
      <w:tr w:rsidR="00F214BC" w:rsidTr="000F1DF9">
        <w:tc>
          <w:tcPr>
            <w:tcW w:w="2718" w:type="dxa"/>
          </w:tcPr>
          <w:p w:rsidR="00F214BC" w:rsidRPr="00BC7495" w:rsidRDefault="00F214BC" w:rsidP="000F1DF9">
            <w:pPr>
              <w:rPr>
                <w:rFonts w:cs="Times New Roman"/>
                <w:szCs w:val="24"/>
              </w:rPr>
            </w:pPr>
          </w:p>
        </w:tc>
        <w:sdt>
          <w:sdtPr>
            <w:rPr>
              <w:rFonts w:cs="Times New Roman"/>
              <w:szCs w:val="24"/>
            </w:rPr>
            <w:alias w:val="Committee"/>
            <w:tag w:val="Committee"/>
            <w:id w:val="1914272295"/>
            <w:lock w:val="sdtContentLocked"/>
            <w:placeholder>
              <w:docPart w:val="81C6E6AF1A124B3788996E5AAE1F5AF5"/>
            </w:placeholder>
          </w:sdtPr>
          <w:sdtContent>
            <w:tc>
              <w:tcPr>
                <w:tcW w:w="6858" w:type="dxa"/>
              </w:tcPr>
              <w:p w:rsidR="00F214BC" w:rsidRPr="00FF6471" w:rsidRDefault="00F214BC" w:rsidP="000F1DF9">
                <w:pPr>
                  <w:jc w:val="right"/>
                  <w:rPr>
                    <w:rFonts w:cs="Times New Roman"/>
                    <w:szCs w:val="24"/>
                  </w:rPr>
                </w:pPr>
                <w:r>
                  <w:rPr>
                    <w:rFonts w:cs="Times New Roman"/>
                    <w:szCs w:val="24"/>
                  </w:rPr>
                  <w:t>Agriculture, Water &amp; Rural Affairs</w:t>
                </w:r>
              </w:p>
            </w:tc>
          </w:sdtContent>
        </w:sdt>
      </w:tr>
      <w:tr w:rsidR="00F214BC" w:rsidTr="000F1DF9">
        <w:tc>
          <w:tcPr>
            <w:tcW w:w="2718" w:type="dxa"/>
          </w:tcPr>
          <w:p w:rsidR="00F214BC" w:rsidRPr="00BC7495" w:rsidRDefault="00F214BC" w:rsidP="000F1DF9">
            <w:pPr>
              <w:rPr>
                <w:rFonts w:cs="Times New Roman"/>
                <w:szCs w:val="24"/>
              </w:rPr>
            </w:pPr>
          </w:p>
        </w:tc>
        <w:sdt>
          <w:sdtPr>
            <w:rPr>
              <w:rFonts w:cs="Times New Roman"/>
              <w:szCs w:val="24"/>
            </w:rPr>
            <w:alias w:val="Date"/>
            <w:tag w:val="DateContentControl"/>
            <w:id w:val="1178081906"/>
            <w:lock w:val="sdtLocked"/>
            <w:placeholder>
              <w:docPart w:val="E14974CF596343C08FB47682A91D46B1"/>
            </w:placeholder>
            <w:date w:fullDate="2017-04-04T00:00:00Z">
              <w:dateFormat w:val="M/d/yyyy"/>
              <w:lid w:val="en-US"/>
              <w:storeMappedDataAs w:val="dateTime"/>
              <w:calendar w:val="gregorian"/>
            </w:date>
          </w:sdtPr>
          <w:sdtContent>
            <w:tc>
              <w:tcPr>
                <w:tcW w:w="6858" w:type="dxa"/>
              </w:tcPr>
              <w:p w:rsidR="00F214BC" w:rsidRPr="00FF6471" w:rsidRDefault="00F214BC" w:rsidP="000F1DF9">
                <w:pPr>
                  <w:jc w:val="right"/>
                  <w:rPr>
                    <w:rFonts w:cs="Times New Roman"/>
                    <w:szCs w:val="24"/>
                  </w:rPr>
                </w:pPr>
                <w:r>
                  <w:rPr>
                    <w:rFonts w:cs="Times New Roman"/>
                    <w:szCs w:val="24"/>
                  </w:rPr>
                  <w:t>4/4/2017</w:t>
                </w:r>
              </w:p>
            </w:tc>
          </w:sdtContent>
        </w:sdt>
      </w:tr>
      <w:tr w:rsidR="00F214BC" w:rsidTr="000F1DF9">
        <w:tc>
          <w:tcPr>
            <w:tcW w:w="2718" w:type="dxa"/>
          </w:tcPr>
          <w:p w:rsidR="00F214BC" w:rsidRPr="00BC7495" w:rsidRDefault="00F214BC" w:rsidP="000F1DF9">
            <w:pPr>
              <w:rPr>
                <w:rFonts w:cs="Times New Roman"/>
                <w:szCs w:val="24"/>
              </w:rPr>
            </w:pPr>
          </w:p>
        </w:tc>
        <w:sdt>
          <w:sdtPr>
            <w:rPr>
              <w:rFonts w:cs="Times New Roman"/>
              <w:szCs w:val="24"/>
            </w:rPr>
            <w:alias w:val="BA Version"/>
            <w:tag w:val="BAVersion"/>
            <w:id w:val="-1685590809"/>
            <w:lock w:val="sdtContentLocked"/>
            <w:placeholder>
              <w:docPart w:val="9E9D22B5174C4B0295B681E78D47D92E"/>
            </w:placeholder>
          </w:sdtPr>
          <w:sdtContent>
            <w:tc>
              <w:tcPr>
                <w:tcW w:w="6858" w:type="dxa"/>
              </w:tcPr>
              <w:p w:rsidR="00F214BC" w:rsidRPr="00FF6471" w:rsidRDefault="00F214BC" w:rsidP="000F1DF9">
                <w:pPr>
                  <w:jc w:val="right"/>
                  <w:rPr>
                    <w:rFonts w:cs="Times New Roman"/>
                    <w:szCs w:val="24"/>
                  </w:rPr>
                </w:pPr>
                <w:r>
                  <w:rPr>
                    <w:rFonts w:cs="Times New Roman"/>
                    <w:szCs w:val="24"/>
                  </w:rPr>
                  <w:t>Committee Report (Substituted)</w:t>
                </w:r>
              </w:p>
            </w:tc>
          </w:sdtContent>
        </w:sdt>
      </w:tr>
    </w:tbl>
    <w:p w:rsidR="00F214BC" w:rsidRPr="00FF6471" w:rsidRDefault="00F214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62A8421CEF4F9799A4D30C0C7F99C9"/>
        </w:placeholder>
      </w:sdtPr>
      <w:sdtContent>
        <w:p w:rsidR="00F214BC" w:rsidRDefault="00F214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D1B8B417F3A48248A92F9FE02C44BC5"/>
        </w:placeholder>
      </w:sdtPr>
      <w:sdtContent>
        <w:p w:rsidR="00F214BC" w:rsidRDefault="00F214BC" w:rsidP="003038E8">
          <w:pPr>
            <w:pStyle w:val="NormalWeb"/>
            <w:shd w:val="clear" w:color="000000" w:fill="auto"/>
            <w:spacing w:before="0" w:beforeAutospacing="0" w:after="0" w:afterAutospacing="0"/>
            <w:jc w:val="both"/>
            <w:divId w:val="381053483"/>
            <w:rPr>
              <w:rFonts w:eastAsia="Times New Roman"/>
              <w:bCs/>
            </w:rPr>
          </w:pPr>
        </w:p>
        <w:p w:rsidR="00F214BC" w:rsidRPr="003038E8" w:rsidRDefault="00F214BC" w:rsidP="003038E8">
          <w:pPr>
            <w:pStyle w:val="NormalWeb"/>
            <w:shd w:val="clear" w:color="000000" w:fill="auto"/>
            <w:spacing w:before="0" w:beforeAutospacing="0" w:after="0" w:afterAutospacing="0"/>
            <w:jc w:val="both"/>
            <w:divId w:val="381053483"/>
          </w:pPr>
          <w:r w:rsidRPr="003038E8">
            <w:t>Any person wishing to store, take, or divert surface water for a beneficial use (e.g., domestic, agricultural, or recreational purposes) must apply for a water right with the Texas Commission on Environmental Quality (TCEQ). Once approved by TCEQ, a right holder must use the water precisely in the manner described by the permit. If a person wants to amend their water right to alter its place or purpose of use, diversion point, or other provisions within the permit, then they must submit an application for those changes to TCEQ. Like new water rights applications, those for water rights amendments are subject to extensive public notice requirements, and must undergo technical review by the agency. Further, these applications may be subject to contested case hearings, especially if the proposed change to the existing water right affects other water permits or the environment.</w:t>
          </w:r>
        </w:p>
        <w:p w:rsidR="00F214BC" w:rsidRPr="003038E8" w:rsidRDefault="00F214BC" w:rsidP="003038E8">
          <w:pPr>
            <w:pStyle w:val="NormalWeb"/>
            <w:shd w:val="clear" w:color="000000" w:fill="auto"/>
            <w:spacing w:before="0" w:beforeAutospacing="0" w:after="0" w:afterAutospacing="0"/>
            <w:jc w:val="both"/>
            <w:divId w:val="381053483"/>
          </w:pPr>
          <w:r w:rsidRPr="003038E8">
            <w:t> </w:t>
          </w:r>
        </w:p>
        <w:p w:rsidR="00F214BC" w:rsidRPr="003038E8" w:rsidRDefault="00F214BC" w:rsidP="003038E8">
          <w:pPr>
            <w:pStyle w:val="NormalWeb"/>
            <w:shd w:val="clear" w:color="000000" w:fill="auto"/>
            <w:spacing w:before="0" w:beforeAutospacing="0" w:after="0" w:afterAutospacing="0"/>
            <w:jc w:val="both"/>
            <w:divId w:val="381053483"/>
          </w:pPr>
          <w:r w:rsidRPr="003038E8">
            <w:t>Interested parties observe that the application process for a water right amendment can be costly and lengthy. These parties further observe that some water rights amendments are simple, such as changing the physical location of a diversion point by a small distance, and have no bearing on other rights within a river basin or the environment. As an alternative to the lengthy application process, interested parties observe that minor, technical water rights amendments could be exempted from several procedural requirements.</w:t>
          </w:r>
        </w:p>
        <w:p w:rsidR="00F214BC" w:rsidRPr="003038E8" w:rsidRDefault="00F214BC" w:rsidP="003038E8">
          <w:pPr>
            <w:pStyle w:val="NormalWeb"/>
            <w:shd w:val="clear" w:color="000000" w:fill="auto"/>
            <w:spacing w:before="0" w:beforeAutospacing="0" w:after="0" w:afterAutospacing="0"/>
            <w:jc w:val="both"/>
            <w:divId w:val="381053483"/>
          </w:pPr>
          <w:r w:rsidRPr="003038E8">
            <w:t> </w:t>
          </w:r>
        </w:p>
        <w:p w:rsidR="00F214BC" w:rsidRDefault="00F214BC" w:rsidP="003038E8">
          <w:pPr>
            <w:pStyle w:val="NormalWeb"/>
            <w:shd w:val="clear" w:color="000000" w:fill="auto"/>
            <w:spacing w:before="0" w:beforeAutospacing="0" w:after="0" w:afterAutospacing="0"/>
            <w:jc w:val="both"/>
            <w:divId w:val="957446546"/>
          </w:pPr>
          <w:r w:rsidRPr="003038E8">
            <w:t>S.B. 226 exempts certain types of limited water rights amendments from the notice, review, and hearing requirements applicable to all applications. The bill identifies three types of water rights amendments that would be exempt from these requirements. Those include amendments that add a purpose of use that does not change a non-consumptive right to a consumptive right or alter a pattern of use in a permit, add a place of use within the same basin, or change a diversion point within a continuous tract of land.</w:t>
          </w:r>
          <w:r>
            <w:t xml:space="preserve"> (</w:t>
          </w:r>
          <w:r w:rsidRPr="003038E8">
            <w:t>Original Author’s / Sponsor’s Statement of Intent)</w:t>
          </w:r>
        </w:p>
        <w:p w:rsidR="00F214BC" w:rsidRPr="00C62CCE" w:rsidRDefault="00F214BC" w:rsidP="003038E8">
          <w:pPr>
            <w:pStyle w:val="NormalWeb"/>
            <w:shd w:val="clear" w:color="000000" w:fill="auto"/>
            <w:spacing w:before="0" w:beforeAutospacing="0" w:after="0" w:afterAutospacing="0"/>
            <w:jc w:val="both"/>
            <w:divId w:val="957446546"/>
            <w:rPr>
              <w:color w:val="000000"/>
            </w:rPr>
          </w:pPr>
          <w:r w:rsidRPr="003038E8">
            <w:rPr>
              <w:rFonts w:eastAsia="Times New Roman"/>
              <w:bCs/>
            </w:rPr>
            <w:t xml:space="preserve"> </w:t>
          </w:r>
        </w:p>
      </w:sdtContent>
    </w:sdt>
    <w:bookmarkStart w:id="0" w:name="EnrolledProposed" w:displacedByCustomXml="prev"/>
    <w:bookmarkEnd w:id="0" w:displacedByCustomXml="prev"/>
    <w:p w:rsidR="00F214BC" w:rsidRDefault="00F214BC" w:rsidP="000F1DF9">
      <w:pPr>
        <w:spacing w:after="0" w:line="240" w:lineRule="auto"/>
        <w:jc w:val="both"/>
      </w:pPr>
      <w:r>
        <w:t xml:space="preserve">C.S.S.B. 226 amends current law relating to the procedure for action on certain applications for an amendment to a water right. </w:t>
      </w:r>
    </w:p>
    <w:p w:rsidR="00F214BC" w:rsidRDefault="00F214BC" w:rsidP="000F1DF9">
      <w:pPr>
        <w:spacing w:after="0" w:line="240" w:lineRule="auto"/>
        <w:jc w:val="both"/>
      </w:pPr>
    </w:p>
    <w:p w:rsidR="00F214BC" w:rsidRDefault="00F214BC" w:rsidP="000F1DF9">
      <w:pPr>
        <w:spacing w:after="0" w:line="240" w:lineRule="auto"/>
        <w:jc w:val="both"/>
        <w:rPr>
          <w:rFonts w:eastAsia="Times New Roman" w:cs="Times New Roman"/>
          <w:b/>
          <w:szCs w:val="24"/>
          <w:u w:val="single"/>
        </w:rPr>
      </w:pPr>
      <w:r>
        <w:t>[Note: While the statutory reference in this bill is to the Texas Natural Resource Conservation Commission (TNRCC), the following amendments affect the Texas Commission on Environmental Quality as the successor agency to TNRCC.]</w:t>
      </w:r>
    </w:p>
    <w:p w:rsidR="00F214BC" w:rsidRDefault="00F214BC" w:rsidP="000F1DF9">
      <w:pPr>
        <w:spacing w:after="0" w:line="240" w:lineRule="auto"/>
        <w:jc w:val="both"/>
        <w:rPr>
          <w:rFonts w:eastAsia="Times New Roman" w:cs="Times New Roman"/>
          <w:b/>
          <w:szCs w:val="24"/>
          <w:u w:val="single"/>
        </w:rPr>
      </w:pPr>
    </w:p>
    <w:p w:rsidR="00F214BC" w:rsidRPr="005C2A78" w:rsidRDefault="00F214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2F7E4E8689664091B197105C2A8DA058"/>
          </w:placeholder>
        </w:sdtPr>
        <w:sdtContent>
          <w:r>
            <w:rPr>
              <w:rFonts w:eastAsia="Times New Roman" w:cs="Times New Roman"/>
              <w:b/>
              <w:szCs w:val="24"/>
              <w:u w:val="single"/>
            </w:rPr>
            <w:t>RULEMAKING AUTHORITY</w:t>
          </w:r>
        </w:sdtContent>
      </w:sdt>
    </w:p>
    <w:p w:rsidR="00F214BC" w:rsidRPr="006529C4" w:rsidRDefault="00F214BC" w:rsidP="00774EC7">
      <w:pPr>
        <w:spacing w:after="0" w:line="240" w:lineRule="auto"/>
        <w:jc w:val="both"/>
        <w:rPr>
          <w:rFonts w:cs="Times New Roman"/>
          <w:szCs w:val="24"/>
        </w:rPr>
      </w:pPr>
    </w:p>
    <w:p w:rsidR="00F214BC" w:rsidRPr="006529C4" w:rsidRDefault="00F214B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14BC" w:rsidRPr="006529C4" w:rsidRDefault="00F214BC" w:rsidP="00774EC7">
      <w:pPr>
        <w:spacing w:after="0" w:line="240" w:lineRule="auto"/>
        <w:jc w:val="both"/>
        <w:rPr>
          <w:rFonts w:cs="Times New Roman"/>
          <w:szCs w:val="24"/>
        </w:rPr>
      </w:pPr>
    </w:p>
    <w:p w:rsidR="00F214BC" w:rsidRPr="005C2A78" w:rsidRDefault="00F214B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FCD583D0B2548B88F16F8BC189DB81B"/>
          </w:placeholder>
        </w:sdtPr>
        <w:sdtContent>
          <w:r>
            <w:rPr>
              <w:rFonts w:eastAsia="Times New Roman" w:cs="Times New Roman"/>
              <w:b/>
              <w:szCs w:val="24"/>
              <w:u w:val="single"/>
            </w:rPr>
            <w:t>SECTION BY SECTION ANALYSIS</w:t>
          </w:r>
        </w:sdtContent>
      </w:sdt>
    </w:p>
    <w:p w:rsidR="00F214BC" w:rsidRPr="005C2A78" w:rsidRDefault="00F214BC" w:rsidP="000F1DF9">
      <w:pPr>
        <w:spacing w:after="0" w:line="240" w:lineRule="auto"/>
        <w:jc w:val="both"/>
        <w:rPr>
          <w:rFonts w:eastAsia="Times New Roman" w:cs="Times New Roman"/>
          <w:szCs w:val="24"/>
        </w:rPr>
      </w:pPr>
    </w:p>
    <w:p w:rsidR="00F214BC" w:rsidRDefault="00F214B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11.122, Water Code, by adding Subsection (b-1), as follows:</w:t>
      </w:r>
    </w:p>
    <w:p w:rsidR="00F214BC" w:rsidRDefault="00F214BC" w:rsidP="000F1DF9">
      <w:pPr>
        <w:spacing w:after="0" w:line="240" w:lineRule="auto"/>
        <w:jc w:val="both"/>
        <w:rPr>
          <w:rFonts w:eastAsia="Times New Roman" w:cs="Times New Roman"/>
          <w:szCs w:val="24"/>
        </w:rPr>
      </w:pPr>
    </w:p>
    <w:p w:rsidR="00F214BC" w:rsidRDefault="00F214BC" w:rsidP="0052768E">
      <w:pPr>
        <w:spacing w:after="0" w:line="240" w:lineRule="auto"/>
        <w:ind w:left="720"/>
        <w:jc w:val="both"/>
        <w:rPr>
          <w:rFonts w:eastAsia="Times New Roman" w:cs="Times New Roman"/>
          <w:szCs w:val="24"/>
        </w:rPr>
      </w:pPr>
      <w:r>
        <w:rPr>
          <w:rFonts w:eastAsia="Times New Roman" w:cs="Times New Roman"/>
          <w:szCs w:val="24"/>
        </w:rPr>
        <w:t>(b-1) Exempts an application for an amendment to a water right, in addition to an application that meets the requirements of Subsection (b) and for which the Texas Natural Resource Conservation Commission (TNRCC) has determined that notice or an opportunity for a contested case hearing is not required under another statue or TNRCC rule, from any requirements of a statute or TNRCC rule regarding notice and hearing or technical review by the TNRCC executive director (executive director) or TNRCC, and prohibits an application from being referred to the State Office of Administrative Hearings for a contested case hearing if the executive director determines after an administrative review that the application is for an amendment that:</w:t>
      </w:r>
    </w:p>
    <w:p w:rsidR="00F214BC" w:rsidRDefault="00F214BC" w:rsidP="0052768E">
      <w:pPr>
        <w:spacing w:after="0" w:line="240" w:lineRule="auto"/>
        <w:ind w:left="720"/>
        <w:jc w:val="both"/>
        <w:rPr>
          <w:rFonts w:eastAsia="Times New Roman" w:cs="Times New Roman"/>
          <w:szCs w:val="24"/>
        </w:rPr>
      </w:pPr>
    </w:p>
    <w:p w:rsidR="00F214BC" w:rsidRDefault="00F214BC" w:rsidP="009A2CF9">
      <w:pPr>
        <w:pStyle w:val="ListParagraph"/>
        <w:numPr>
          <w:ilvl w:val="0"/>
          <w:numId w:val="1"/>
        </w:numPr>
        <w:tabs>
          <w:tab w:val="left" w:pos="1620"/>
          <w:tab w:val="left" w:pos="1800"/>
        </w:tabs>
        <w:spacing w:after="0" w:line="240" w:lineRule="auto"/>
        <w:ind w:left="1440" w:firstLine="0"/>
        <w:jc w:val="both"/>
        <w:rPr>
          <w:rFonts w:eastAsia="Times New Roman" w:cs="Times New Roman"/>
          <w:szCs w:val="24"/>
        </w:rPr>
      </w:pPr>
      <w:r>
        <w:rPr>
          <w:rFonts w:eastAsia="Times New Roman" w:cs="Times New Roman"/>
          <w:szCs w:val="24"/>
        </w:rPr>
        <w:t>a</w:t>
      </w:r>
      <w:r w:rsidRPr="0052768E">
        <w:rPr>
          <w:rFonts w:eastAsia="Times New Roman" w:cs="Times New Roman"/>
          <w:szCs w:val="24"/>
        </w:rPr>
        <w:t xml:space="preserve">dds a purpose of use that does not </w:t>
      </w:r>
      <w:r>
        <w:rPr>
          <w:rFonts w:eastAsia="Times New Roman" w:cs="Times New Roman"/>
          <w:szCs w:val="24"/>
        </w:rPr>
        <w:t xml:space="preserve">substantially </w:t>
      </w:r>
      <w:r w:rsidRPr="0052768E">
        <w:rPr>
          <w:rFonts w:eastAsia="Times New Roman" w:cs="Times New Roman"/>
          <w:szCs w:val="24"/>
        </w:rPr>
        <w:t xml:space="preserve">alter the nature of the right from a right authorizing </w:t>
      </w:r>
      <w:r>
        <w:rPr>
          <w:rFonts w:eastAsia="Times New Roman" w:cs="Times New Roman"/>
          <w:szCs w:val="24"/>
        </w:rPr>
        <w:t xml:space="preserve">only </w:t>
      </w:r>
      <w:r w:rsidRPr="0052768E">
        <w:rPr>
          <w:rFonts w:eastAsia="Times New Roman" w:cs="Times New Roman"/>
          <w:szCs w:val="24"/>
        </w:rPr>
        <w:t>nonconsumptive use to a right authoriz</w:t>
      </w:r>
      <w:r>
        <w:rPr>
          <w:rFonts w:eastAsia="Times New Roman" w:cs="Times New Roman"/>
          <w:szCs w:val="24"/>
        </w:rPr>
        <w:t>ing</w:t>
      </w:r>
      <w:r w:rsidRPr="0052768E">
        <w:rPr>
          <w:rFonts w:eastAsia="Times New Roman" w:cs="Times New Roman"/>
          <w:szCs w:val="24"/>
        </w:rPr>
        <w:t xml:space="preserve"> consumptive use, or a pattern of use that is explicitly authorized </w:t>
      </w:r>
      <w:r>
        <w:rPr>
          <w:rFonts w:eastAsia="Times New Roman" w:cs="Times New Roman"/>
          <w:szCs w:val="24"/>
        </w:rPr>
        <w:t xml:space="preserve">in or required </w:t>
      </w:r>
      <w:r w:rsidRPr="0052768E">
        <w:rPr>
          <w:rFonts w:eastAsia="Times New Roman" w:cs="Times New Roman"/>
          <w:szCs w:val="24"/>
        </w:rPr>
        <w:t>by the original right;</w:t>
      </w:r>
    </w:p>
    <w:p w:rsidR="00F214BC" w:rsidRPr="0052768E" w:rsidRDefault="00F214BC" w:rsidP="0052768E">
      <w:pPr>
        <w:pStyle w:val="ListParagraph"/>
        <w:spacing w:after="0" w:line="240" w:lineRule="auto"/>
        <w:ind w:left="1800"/>
        <w:jc w:val="both"/>
        <w:rPr>
          <w:rFonts w:eastAsia="Times New Roman" w:cs="Times New Roman"/>
          <w:szCs w:val="24"/>
        </w:rPr>
      </w:pPr>
    </w:p>
    <w:p w:rsidR="00F214BC" w:rsidRDefault="00F214BC" w:rsidP="009A2CF9">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adds a place of use located in the same basin as the place of use authorized by the original right; or</w:t>
      </w:r>
    </w:p>
    <w:p w:rsidR="00F214BC" w:rsidRPr="0052768E" w:rsidRDefault="00F214BC" w:rsidP="0052768E">
      <w:pPr>
        <w:spacing w:after="0" w:line="240" w:lineRule="auto"/>
        <w:jc w:val="both"/>
        <w:rPr>
          <w:rFonts w:eastAsia="Times New Roman" w:cs="Times New Roman"/>
          <w:szCs w:val="24"/>
        </w:rPr>
      </w:pPr>
    </w:p>
    <w:p w:rsidR="00F214BC" w:rsidRDefault="00F214BC" w:rsidP="0052768E">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changes the point of diversion, provided that:</w:t>
      </w:r>
    </w:p>
    <w:p w:rsidR="00F214BC" w:rsidRDefault="00F214BC" w:rsidP="0052768E">
      <w:pPr>
        <w:pStyle w:val="ListParagraph"/>
        <w:spacing w:after="0" w:line="240" w:lineRule="auto"/>
        <w:ind w:left="2520"/>
        <w:jc w:val="both"/>
        <w:rPr>
          <w:rFonts w:eastAsia="Times New Roman" w:cs="Times New Roman"/>
          <w:szCs w:val="24"/>
        </w:rPr>
      </w:pPr>
    </w:p>
    <w:p w:rsidR="00F214BC" w:rsidRPr="0052768E" w:rsidRDefault="00F214BC" w:rsidP="0052768E">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 </w:t>
      </w:r>
      <w:r w:rsidRPr="0052768E">
        <w:rPr>
          <w:rFonts w:eastAsia="Times New Roman" w:cs="Times New Roman"/>
          <w:szCs w:val="24"/>
        </w:rPr>
        <w:t>the authorized rate of diversion is not increased;</w:t>
      </w:r>
    </w:p>
    <w:p w:rsidR="00F214BC" w:rsidRDefault="00F214BC" w:rsidP="0052768E">
      <w:pPr>
        <w:pStyle w:val="ListParagraph"/>
        <w:spacing w:after="0" w:line="240" w:lineRule="auto"/>
        <w:ind w:left="2190"/>
        <w:jc w:val="both"/>
        <w:rPr>
          <w:rFonts w:eastAsia="Times New Roman" w:cs="Times New Roman"/>
          <w:szCs w:val="24"/>
        </w:rPr>
      </w:pPr>
    </w:p>
    <w:p w:rsidR="00F214BC" w:rsidRDefault="00F214BC" w:rsidP="009A2CF9">
      <w:pPr>
        <w:pStyle w:val="ListParagraph"/>
        <w:numPr>
          <w:ilvl w:val="0"/>
          <w:numId w:val="2"/>
        </w:numPr>
        <w:tabs>
          <w:tab w:val="left" w:pos="1980"/>
          <w:tab w:val="left" w:pos="2070"/>
          <w:tab w:val="left" w:pos="2160"/>
        </w:tabs>
        <w:spacing w:after="0" w:line="240" w:lineRule="auto"/>
        <w:ind w:left="1800" w:firstLine="0"/>
        <w:jc w:val="both"/>
        <w:rPr>
          <w:rFonts w:eastAsia="Times New Roman" w:cs="Times New Roman"/>
          <w:szCs w:val="24"/>
        </w:rPr>
      </w:pPr>
      <w:r>
        <w:rPr>
          <w:rFonts w:eastAsia="Times New Roman" w:cs="Times New Roman"/>
          <w:szCs w:val="24"/>
        </w:rPr>
        <w:t xml:space="preserve"> </w:t>
      </w:r>
      <w:r w:rsidRPr="0052768E">
        <w:rPr>
          <w:rFonts w:eastAsia="Times New Roman" w:cs="Times New Roman"/>
          <w:szCs w:val="24"/>
        </w:rPr>
        <w:t>the original and new point</w:t>
      </w:r>
      <w:r>
        <w:rPr>
          <w:rFonts w:eastAsia="Times New Roman" w:cs="Times New Roman"/>
          <w:szCs w:val="24"/>
        </w:rPr>
        <w:t>s</w:t>
      </w:r>
      <w:r w:rsidRPr="0052768E">
        <w:rPr>
          <w:rFonts w:eastAsia="Times New Roman" w:cs="Times New Roman"/>
          <w:szCs w:val="24"/>
        </w:rPr>
        <w:t xml:space="preserve"> of diversion are located in the</w:t>
      </w:r>
      <w:r>
        <w:rPr>
          <w:rFonts w:eastAsia="Times New Roman" w:cs="Times New Roman"/>
          <w:szCs w:val="24"/>
        </w:rPr>
        <w:t xml:space="preserve"> same contiguous tract of land;</w:t>
      </w:r>
    </w:p>
    <w:p w:rsidR="00F214BC" w:rsidRPr="0052768E" w:rsidRDefault="00F214BC" w:rsidP="0052768E">
      <w:pPr>
        <w:spacing w:after="0" w:line="240" w:lineRule="auto"/>
        <w:jc w:val="both"/>
        <w:rPr>
          <w:rFonts w:eastAsia="Times New Roman" w:cs="Times New Roman"/>
          <w:szCs w:val="24"/>
        </w:rPr>
      </w:pPr>
    </w:p>
    <w:p w:rsidR="00F214BC" w:rsidRDefault="00F214BC" w:rsidP="009A2CF9">
      <w:pPr>
        <w:pStyle w:val="ListParagraph"/>
        <w:numPr>
          <w:ilvl w:val="0"/>
          <w:numId w:val="2"/>
        </w:numPr>
        <w:spacing w:after="0" w:line="240" w:lineRule="auto"/>
        <w:ind w:left="1800" w:firstLine="0"/>
        <w:jc w:val="both"/>
        <w:rPr>
          <w:rFonts w:eastAsia="Times New Roman" w:cs="Times New Roman"/>
          <w:szCs w:val="24"/>
        </w:rPr>
      </w:pPr>
      <w:r>
        <w:rPr>
          <w:rFonts w:eastAsia="Times New Roman" w:cs="Times New Roman"/>
          <w:szCs w:val="24"/>
        </w:rPr>
        <w:t xml:space="preserve"> </w:t>
      </w:r>
      <w:r w:rsidRPr="0052768E">
        <w:rPr>
          <w:rFonts w:eastAsia="Times New Roman" w:cs="Times New Roman"/>
          <w:szCs w:val="24"/>
        </w:rPr>
        <w:t>the original and the new point</w:t>
      </w:r>
      <w:r>
        <w:rPr>
          <w:rFonts w:eastAsia="Times New Roman" w:cs="Times New Roman"/>
          <w:szCs w:val="24"/>
        </w:rPr>
        <w:t>s</w:t>
      </w:r>
      <w:r w:rsidRPr="0052768E">
        <w:rPr>
          <w:rFonts w:eastAsia="Times New Roman" w:cs="Times New Roman"/>
          <w:szCs w:val="24"/>
        </w:rPr>
        <w:t xml:space="preserve"> of diversion a</w:t>
      </w:r>
      <w:r>
        <w:rPr>
          <w:rFonts w:eastAsia="Times New Roman" w:cs="Times New Roman"/>
          <w:szCs w:val="24"/>
        </w:rPr>
        <w:t>re from the same source of supply;</w:t>
      </w:r>
    </w:p>
    <w:p w:rsidR="00F214BC" w:rsidRPr="0052768E" w:rsidRDefault="00F214BC" w:rsidP="0052768E">
      <w:pPr>
        <w:pStyle w:val="ListParagraph"/>
        <w:rPr>
          <w:rFonts w:eastAsia="Times New Roman" w:cs="Times New Roman"/>
          <w:szCs w:val="24"/>
        </w:rPr>
      </w:pPr>
    </w:p>
    <w:p w:rsidR="00F214BC" w:rsidRDefault="00F214BC" w:rsidP="009A2CF9">
      <w:pPr>
        <w:pStyle w:val="ListParagraph"/>
        <w:numPr>
          <w:ilvl w:val="0"/>
          <w:numId w:val="2"/>
        </w:numPr>
        <w:spacing w:after="0" w:line="240" w:lineRule="auto"/>
        <w:ind w:left="1800" w:firstLine="0"/>
        <w:jc w:val="both"/>
        <w:rPr>
          <w:rFonts w:eastAsia="Times New Roman" w:cs="Times New Roman"/>
          <w:szCs w:val="24"/>
        </w:rPr>
      </w:pPr>
      <w:r>
        <w:rPr>
          <w:rFonts w:eastAsia="Times New Roman" w:cs="Times New Roman"/>
          <w:szCs w:val="24"/>
        </w:rPr>
        <w:t xml:space="preserve"> there are no points of diversion from the same source of supply associated with other water rights that are located between the original and the new points of diversion;</w:t>
      </w:r>
    </w:p>
    <w:p w:rsidR="00F214BC" w:rsidRPr="0052768E" w:rsidRDefault="00F214BC" w:rsidP="0052768E">
      <w:pPr>
        <w:pStyle w:val="ListParagraph"/>
        <w:rPr>
          <w:rFonts w:eastAsia="Times New Roman" w:cs="Times New Roman"/>
          <w:szCs w:val="24"/>
        </w:rPr>
      </w:pPr>
    </w:p>
    <w:p w:rsidR="00F214BC" w:rsidRDefault="00F214BC" w:rsidP="003038E8">
      <w:pPr>
        <w:pStyle w:val="ListParagraph"/>
        <w:numPr>
          <w:ilvl w:val="0"/>
          <w:numId w:val="2"/>
        </w:numPr>
        <w:spacing w:after="0" w:line="240" w:lineRule="auto"/>
        <w:ind w:left="1800" w:firstLine="0"/>
        <w:jc w:val="both"/>
        <w:rPr>
          <w:rFonts w:eastAsia="Times New Roman" w:cs="Times New Roman"/>
          <w:szCs w:val="24"/>
        </w:rPr>
      </w:pPr>
      <w:r>
        <w:rPr>
          <w:rFonts w:eastAsia="Times New Roman" w:cs="Times New Roman"/>
          <w:szCs w:val="24"/>
        </w:rPr>
        <w:t xml:space="preserve"> there are no streamflow gauges located on the source of supply between the original and new points of diversion that are referenced in the original water right or in another water right authorizing a diversion from the same source of supply; and</w:t>
      </w:r>
    </w:p>
    <w:p w:rsidR="00F214BC" w:rsidRDefault="00F214BC" w:rsidP="003038E8">
      <w:pPr>
        <w:pStyle w:val="ListParagraph"/>
        <w:spacing w:after="0" w:line="240" w:lineRule="auto"/>
        <w:ind w:left="1800"/>
        <w:jc w:val="both"/>
        <w:rPr>
          <w:rFonts w:eastAsia="Times New Roman" w:cs="Times New Roman"/>
          <w:szCs w:val="24"/>
        </w:rPr>
      </w:pPr>
    </w:p>
    <w:p w:rsidR="00F214BC" w:rsidRDefault="00F214BC" w:rsidP="003038E8">
      <w:pPr>
        <w:pStyle w:val="ListParagraph"/>
        <w:spacing w:after="0" w:line="240" w:lineRule="auto"/>
        <w:ind w:left="1800"/>
        <w:jc w:val="both"/>
        <w:rPr>
          <w:rFonts w:eastAsia="Times New Roman" w:cs="Times New Roman"/>
          <w:szCs w:val="24"/>
        </w:rPr>
      </w:pPr>
      <w:r>
        <w:rPr>
          <w:rFonts w:eastAsia="Times New Roman" w:cs="Times New Roman"/>
          <w:szCs w:val="24"/>
        </w:rPr>
        <w:t xml:space="preserve">(F) there are no tributary watercourses that enter the watercourse that is the source of supply between the original and the new points of diversion. </w:t>
      </w:r>
    </w:p>
    <w:p w:rsidR="00F214BC" w:rsidRPr="005C2A78" w:rsidRDefault="00F214BC" w:rsidP="000F1DF9">
      <w:pPr>
        <w:spacing w:after="0" w:line="240" w:lineRule="auto"/>
        <w:jc w:val="both"/>
        <w:rPr>
          <w:rFonts w:eastAsia="Times New Roman" w:cs="Times New Roman"/>
          <w:szCs w:val="24"/>
        </w:rPr>
      </w:pPr>
    </w:p>
    <w:p w:rsidR="00F214BC" w:rsidRPr="005C2A78" w:rsidRDefault="00F214B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to an application to amend a water right that is filed with the Texas Commission on Environmental Quality on or after the effective date of this Act or is pending as of the effective date of this Act. </w:t>
      </w:r>
    </w:p>
    <w:p w:rsidR="00F214BC" w:rsidRPr="005C2A78" w:rsidRDefault="00F214BC" w:rsidP="000F1DF9">
      <w:pPr>
        <w:spacing w:after="0" w:line="240" w:lineRule="auto"/>
        <w:jc w:val="both"/>
        <w:rPr>
          <w:rFonts w:eastAsia="Times New Roman" w:cs="Times New Roman"/>
          <w:szCs w:val="24"/>
        </w:rPr>
      </w:pPr>
    </w:p>
    <w:p w:rsidR="00F214BC" w:rsidRPr="00334F32" w:rsidRDefault="00F214BC" w:rsidP="00334F3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F214BC" w:rsidRPr="00334F3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33" w:rsidRDefault="005F4533" w:rsidP="000F1DF9">
      <w:pPr>
        <w:spacing w:after="0" w:line="240" w:lineRule="auto"/>
      </w:pPr>
      <w:r>
        <w:separator/>
      </w:r>
    </w:p>
  </w:endnote>
  <w:endnote w:type="continuationSeparator" w:id="0">
    <w:p w:rsidR="005F4533" w:rsidRDefault="005F45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45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14BC">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14BC">
                <w:rPr>
                  <w:sz w:val="20"/>
                  <w:szCs w:val="20"/>
                </w:rPr>
                <w:t>C.S.S.B. 226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14B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45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14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14B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33" w:rsidRDefault="005F4533" w:rsidP="000F1DF9">
      <w:pPr>
        <w:spacing w:after="0" w:line="240" w:lineRule="auto"/>
      </w:pPr>
      <w:r>
        <w:separator/>
      </w:r>
    </w:p>
  </w:footnote>
  <w:footnote w:type="continuationSeparator" w:id="0">
    <w:p w:rsidR="005F4533" w:rsidRDefault="005F453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5CBA"/>
    <w:multiLevelType w:val="hybridMultilevel"/>
    <w:tmpl w:val="288CEAD0"/>
    <w:lvl w:ilvl="0" w:tplc="CC820BB2">
      <w:start w:val="1"/>
      <w:numFmt w:val="upperLetter"/>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FB242C3"/>
    <w:multiLevelType w:val="hybridMultilevel"/>
    <w:tmpl w:val="58A6652A"/>
    <w:lvl w:ilvl="0" w:tplc="87C05E3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533"/>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214B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214BC"/>
    <w:pPr>
      <w:ind w:left="720"/>
      <w:contextualSpacing/>
    </w:pPr>
  </w:style>
  <w:style w:type="paragraph" w:styleId="NormalWeb">
    <w:name w:val="Normal (Web)"/>
    <w:basedOn w:val="Normal"/>
    <w:uiPriority w:val="99"/>
    <w:unhideWhenUsed/>
    <w:rsid w:val="00F214B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214BC"/>
    <w:pPr>
      <w:ind w:left="720"/>
      <w:contextualSpacing/>
    </w:pPr>
  </w:style>
  <w:style w:type="paragraph" w:styleId="NormalWeb">
    <w:name w:val="Normal (Web)"/>
    <w:basedOn w:val="Normal"/>
    <w:uiPriority w:val="99"/>
    <w:unhideWhenUsed/>
    <w:rsid w:val="00F214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6546">
      <w:bodyDiv w:val="1"/>
      <w:marLeft w:val="0"/>
      <w:marRight w:val="0"/>
      <w:marTop w:val="0"/>
      <w:marBottom w:val="0"/>
      <w:divBdr>
        <w:top w:val="none" w:sz="0" w:space="0" w:color="auto"/>
        <w:left w:val="none" w:sz="0" w:space="0" w:color="auto"/>
        <w:bottom w:val="none" w:sz="0" w:space="0" w:color="auto"/>
        <w:right w:val="none" w:sz="0" w:space="0" w:color="auto"/>
      </w:divBdr>
      <w:divsChild>
        <w:div w:id="38105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19FC" w:rsidP="008919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0BC095A6964417BC92D17055C1C4B7"/>
        <w:category>
          <w:name w:val="General"/>
          <w:gallery w:val="placeholder"/>
        </w:category>
        <w:types>
          <w:type w:val="bbPlcHdr"/>
        </w:types>
        <w:behaviors>
          <w:behavior w:val="content"/>
        </w:behaviors>
        <w:guid w:val="{4D21591A-C1CE-4EDB-A849-AD360681E3B1}"/>
      </w:docPartPr>
      <w:docPartBody>
        <w:p w:rsidR="00000000" w:rsidRDefault="00885892"/>
      </w:docPartBody>
    </w:docPart>
    <w:docPart>
      <w:docPartPr>
        <w:name w:val="5CB5A49D006A41B3B0A2E9C7D8AC6367"/>
        <w:category>
          <w:name w:val="General"/>
          <w:gallery w:val="placeholder"/>
        </w:category>
        <w:types>
          <w:type w:val="bbPlcHdr"/>
        </w:types>
        <w:behaviors>
          <w:behavior w:val="content"/>
        </w:behaviors>
        <w:guid w:val="{D239496E-F2DB-4DDF-AD4A-2C0D97E348BF}"/>
      </w:docPartPr>
      <w:docPartBody>
        <w:p w:rsidR="00000000" w:rsidRDefault="00885892"/>
      </w:docPartBody>
    </w:docPart>
    <w:docPart>
      <w:docPartPr>
        <w:name w:val="081CE18760304FBF974B225915B5767F"/>
        <w:category>
          <w:name w:val="General"/>
          <w:gallery w:val="placeholder"/>
        </w:category>
        <w:types>
          <w:type w:val="bbPlcHdr"/>
        </w:types>
        <w:behaviors>
          <w:behavior w:val="content"/>
        </w:behaviors>
        <w:guid w:val="{159161F4-7344-4242-B8B0-3B4AEF0E8F05}"/>
      </w:docPartPr>
      <w:docPartBody>
        <w:p w:rsidR="00000000" w:rsidRDefault="00885892"/>
      </w:docPartBody>
    </w:docPart>
    <w:docPart>
      <w:docPartPr>
        <w:name w:val="3F097F2234A140F0B999858AE31351D5"/>
        <w:category>
          <w:name w:val="General"/>
          <w:gallery w:val="placeholder"/>
        </w:category>
        <w:types>
          <w:type w:val="bbPlcHdr"/>
        </w:types>
        <w:behaviors>
          <w:behavior w:val="content"/>
        </w:behaviors>
        <w:guid w:val="{ABB5A4EA-D0B0-41FF-92A7-3528C918DD8A}"/>
      </w:docPartPr>
      <w:docPartBody>
        <w:p w:rsidR="00000000" w:rsidRDefault="00885892"/>
      </w:docPartBody>
    </w:docPart>
    <w:docPart>
      <w:docPartPr>
        <w:name w:val="33122EA3CDD24AD790992B8CFC04B748"/>
        <w:category>
          <w:name w:val="General"/>
          <w:gallery w:val="placeholder"/>
        </w:category>
        <w:types>
          <w:type w:val="bbPlcHdr"/>
        </w:types>
        <w:behaviors>
          <w:behavior w:val="content"/>
        </w:behaviors>
        <w:guid w:val="{0210D5D9-24B8-4190-A709-0DACEEEF0623}"/>
      </w:docPartPr>
      <w:docPartBody>
        <w:p w:rsidR="00000000" w:rsidRDefault="00885892"/>
      </w:docPartBody>
    </w:docPart>
    <w:docPart>
      <w:docPartPr>
        <w:name w:val="07A7C9E453254DD494E1343607B157E0"/>
        <w:category>
          <w:name w:val="General"/>
          <w:gallery w:val="placeholder"/>
        </w:category>
        <w:types>
          <w:type w:val="bbPlcHdr"/>
        </w:types>
        <w:behaviors>
          <w:behavior w:val="content"/>
        </w:behaviors>
        <w:guid w:val="{586A1A7C-284A-4CFC-A8CA-7B05DB45F3D4}"/>
      </w:docPartPr>
      <w:docPartBody>
        <w:p w:rsidR="00000000" w:rsidRDefault="00885892"/>
      </w:docPartBody>
    </w:docPart>
    <w:docPart>
      <w:docPartPr>
        <w:name w:val="B9D23E28CF314E4F967AFA7A61430694"/>
        <w:category>
          <w:name w:val="General"/>
          <w:gallery w:val="placeholder"/>
        </w:category>
        <w:types>
          <w:type w:val="bbPlcHdr"/>
        </w:types>
        <w:behaviors>
          <w:behavior w:val="content"/>
        </w:behaviors>
        <w:guid w:val="{780238DF-F659-43D2-88D3-D161AFA154BF}"/>
      </w:docPartPr>
      <w:docPartBody>
        <w:p w:rsidR="00000000" w:rsidRDefault="00885892"/>
      </w:docPartBody>
    </w:docPart>
    <w:docPart>
      <w:docPartPr>
        <w:name w:val="81C6E6AF1A124B3788996E5AAE1F5AF5"/>
        <w:category>
          <w:name w:val="General"/>
          <w:gallery w:val="placeholder"/>
        </w:category>
        <w:types>
          <w:type w:val="bbPlcHdr"/>
        </w:types>
        <w:behaviors>
          <w:behavior w:val="content"/>
        </w:behaviors>
        <w:guid w:val="{A35773BF-0706-4908-BF47-AD5137F35F45}"/>
      </w:docPartPr>
      <w:docPartBody>
        <w:p w:rsidR="00000000" w:rsidRDefault="00885892"/>
      </w:docPartBody>
    </w:docPart>
    <w:docPart>
      <w:docPartPr>
        <w:name w:val="E14974CF596343C08FB47682A91D46B1"/>
        <w:category>
          <w:name w:val="General"/>
          <w:gallery w:val="placeholder"/>
        </w:category>
        <w:types>
          <w:type w:val="bbPlcHdr"/>
        </w:types>
        <w:behaviors>
          <w:behavior w:val="content"/>
        </w:behaviors>
        <w:guid w:val="{8665DD0A-5D02-4E32-ADFE-49D1583B204E}"/>
      </w:docPartPr>
      <w:docPartBody>
        <w:p w:rsidR="00000000" w:rsidRDefault="008919FC" w:rsidP="008919FC">
          <w:pPr>
            <w:pStyle w:val="E14974CF596343C08FB47682A91D46B1"/>
          </w:pPr>
          <w:r w:rsidRPr="00A30DD1">
            <w:rPr>
              <w:rStyle w:val="PlaceholderText"/>
            </w:rPr>
            <w:t>Click here to enter a date.</w:t>
          </w:r>
        </w:p>
      </w:docPartBody>
    </w:docPart>
    <w:docPart>
      <w:docPartPr>
        <w:name w:val="9E9D22B5174C4B0295B681E78D47D92E"/>
        <w:category>
          <w:name w:val="General"/>
          <w:gallery w:val="placeholder"/>
        </w:category>
        <w:types>
          <w:type w:val="bbPlcHdr"/>
        </w:types>
        <w:behaviors>
          <w:behavior w:val="content"/>
        </w:behaviors>
        <w:guid w:val="{4AF30075-3501-4D77-86F2-C5B39533F118}"/>
      </w:docPartPr>
      <w:docPartBody>
        <w:p w:rsidR="00000000" w:rsidRDefault="00885892"/>
      </w:docPartBody>
    </w:docPart>
    <w:docPart>
      <w:docPartPr>
        <w:name w:val="D262A8421CEF4F9799A4D30C0C7F99C9"/>
        <w:category>
          <w:name w:val="General"/>
          <w:gallery w:val="placeholder"/>
        </w:category>
        <w:types>
          <w:type w:val="bbPlcHdr"/>
        </w:types>
        <w:behaviors>
          <w:behavior w:val="content"/>
        </w:behaviors>
        <w:guid w:val="{7D9E7920-BB87-4370-9BA4-F4B284484633}"/>
      </w:docPartPr>
      <w:docPartBody>
        <w:p w:rsidR="00000000" w:rsidRDefault="00885892"/>
      </w:docPartBody>
    </w:docPart>
    <w:docPart>
      <w:docPartPr>
        <w:name w:val="9D1B8B417F3A48248A92F9FE02C44BC5"/>
        <w:category>
          <w:name w:val="General"/>
          <w:gallery w:val="placeholder"/>
        </w:category>
        <w:types>
          <w:type w:val="bbPlcHdr"/>
        </w:types>
        <w:behaviors>
          <w:behavior w:val="content"/>
        </w:behaviors>
        <w:guid w:val="{9D597649-BE5C-4A8C-813C-CC3EDB5AEB8B}"/>
      </w:docPartPr>
      <w:docPartBody>
        <w:p w:rsidR="00000000" w:rsidRDefault="008919FC" w:rsidP="008919FC">
          <w:pPr>
            <w:pStyle w:val="9D1B8B417F3A48248A92F9FE02C44BC5"/>
          </w:pPr>
          <w:r>
            <w:rPr>
              <w:rFonts w:eastAsia="Times New Roman" w:cs="Times New Roman"/>
              <w:bCs/>
              <w:szCs w:val="24"/>
            </w:rPr>
            <w:t xml:space="preserve"> </w:t>
          </w:r>
        </w:p>
      </w:docPartBody>
    </w:docPart>
    <w:docPart>
      <w:docPartPr>
        <w:name w:val="2F7E4E8689664091B197105C2A8DA058"/>
        <w:category>
          <w:name w:val="General"/>
          <w:gallery w:val="placeholder"/>
        </w:category>
        <w:types>
          <w:type w:val="bbPlcHdr"/>
        </w:types>
        <w:behaviors>
          <w:behavior w:val="content"/>
        </w:behaviors>
        <w:guid w:val="{BB1CE1D0-316D-443E-B618-5B13DCAEBB25}"/>
      </w:docPartPr>
      <w:docPartBody>
        <w:p w:rsidR="00000000" w:rsidRDefault="00885892"/>
      </w:docPartBody>
    </w:docPart>
    <w:docPart>
      <w:docPartPr>
        <w:name w:val="1FCD583D0B2548B88F16F8BC189DB81B"/>
        <w:category>
          <w:name w:val="General"/>
          <w:gallery w:val="placeholder"/>
        </w:category>
        <w:types>
          <w:type w:val="bbPlcHdr"/>
        </w:types>
        <w:behaviors>
          <w:behavior w:val="content"/>
        </w:behaviors>
        <w:guid w:val="{B780964B-BEB2-47DC-93A0-28DB01C03CE8}"/>
      </w:docPartPr>
      <w:docPartBody>
        <w:p w:rsidR="00000000" w:rsidRDefault="008858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5892"/>
    <w:rsid w:val="008919F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9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19FC"/>
    <w:rPr>
      <w:rFonts w:ascii="Times New Roman" w:hAnsi="Times New Roman"/>
      <w:sz w:val="24"/>
    </w:rPr>
  </w:style>
  <w:style w:type="paragraph" w:customStyle="1" w:styleId="487D89B4F8B34DB4967D41FE18F7F88D7">
    <w:name w:val="487D89B4F8B34DB4967D41FE18F7F88D7"/>
    <w:rsid w:val="008919FC"/>
    <w:rPr>
      <w:rFonts w:ascii="Times New Roman" w:hAnsi="Times New Roman"/>
      <w:sz w:val="24"/>
    </w:rPr>
  </w:style>
  <w:style w:type="paragraph" w:customStyle="1" w:styleId="AE2570ED5D764CD7AF9686706F550F4620">
    <w:name w:val="AE2570ED5D764CD7AF9686706F550F4620"/>
    <w:rsid w:val="008919FC"/>
    <w:pPr>
      <w:tabs>
        <w:tab w:val="center" w:pos="4680"/>
        <w:tab w:val="right" w:pos="9360"/>
      </w:tabs>
      <w:spacing w:after="0" w:line="240" w:lineRule="auto"/>
    </w:pPr>
    <w:rPr>
      <w:rFonts w:ascii="Times New Roman" w:hAnsi="Times New Roman"/>
      <w:sz w:val="24"/>
    </w:rPr>
  </w:style>
  <w:style w:type="paragraph" w:customStyle="1" w:styleId="E14974CF596343C08FB47682A91D46B1">
    <w:name w:val="E14974CF596343C08FB47682A91D46B1"/>
    <w:rsid w:val="008919FC"/>
  </w:style>
  <w:style w:type="paragraph" w:customStyle="1" w:styleId="9D1B8B417F3A48248A92F9FE02C44BC5">
    <w:name w:val="9D1B8B417F3A48248A92F9FE02C44BC5"/>
    <w:rsid w:val="008919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9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19FC"/>
    <w:rPr>
      <w:rFonts w:ascii="Times New Roman" w:hAnsi="Times New Roman"/>
      <w:sz w:val="24"/>
    </w:rPr>
  </w:style>
  <w:style w:type="paragraph" w:customStyle="1" w:styleId="487D89B4F8B34DB4967D41FE18F7F88D7">
    <w:name w:val="487D89B4F8B34DB4967D41FE18F7F88D7"/>
    <w:rsid w:val="008919FC"/>
    <w:rPr>
      <w:rFonts w:ascii="Times New Roman" w:hAnsi="Times New Roman"/>
      <w:sz w:val="24"/>
    </w:rPr>
  </w:style>
  <w:style w:type="paragraph" w:customStyle="1" w:styleId="AE2570ED5D764CD7AF9686706F550F4620">
    <w:name w:val="AE2570ED5D764CD7AF9686706F550F4620"/>
    <w:rsid w:val="008919FC"/>
    <w:pPr>
      <w:tabs>
        <w:tab w:val="center" w:pos="4680"/>
        <w:tab w:val="right" w:pos="9360"/>
      </w:tabs>
      <w:spacing w:after="0" w:line="240" w:lineRule="auto"/>
    </w:pPr>
    <w:rPr>
      <w:rFonts w:ascii="Times New Roman" w:hAnsi="Times New Roman"/>
      <w:sz w:val="24"/>
    </w:rPr>
  </w:style>
  <w:style w:type="paragraph" w:customStyle="1" w:styleId="E14974CF596343C08FB47682A91D46B1">
    <w:name w:val="E14974CF596343C08FB47682A91D46B1"/>
    <w:rsid w:val="008919FC"/>
  </w:style>
  <w:style w:type="paragraph" w:customStyle="1" w:styleId="9D1B8B417F3A48248A92F9FE02C44BC5">
    <w:name w:val="9D1B8B417F3A48248A92F9FE02C44BC5"/>
    <w:rsid w:val="00891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0403F5-946D-4B1A-88C4-979666B1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761</Words>
  <Characters>4338</Characters>
  <Application>Microsoft Office Word</Application>
  <DocSecurity>0</DocSecurity>
  <Lines>36</Lines>
  <Paragraphs>10</Paragraphs>
  <ScaleCrop>false</ScaleCrop>
  <Company>Texas Legislative Council</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2017-04-04T17:36:00Z</cp:lastPrinted>
  <dcterms:created xsi:type="dcterms:W3CDTF">2015-05-29T14:24:00Z</dcterms:created>
  <dcterms:modified xsi:type="dcterms:W3CDTF">2017-04-04T17:36:00Z</dcterms:modified>
</cp:coreProperties>
</file>

<file path=docProps/custom.xml><?xml version="1.0" encoding="utf-8"?>
<op:Properties xmlns:vt="http://schemas.openxmlformats.org/officeDocument/2006/docPropsVTypes" xmlns:op="http://schemas.openxmlformats.org/officeDocument/2006/custom-properties"/>
</file>