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E7358" w:rsidTr="00345119">
        <w:tc>
          <w:tcPr>
            <w:tcW w:w="9576" w:type="dxa"/>
            <w:noWrap/>
          </w:tcPr>
          <w:p w:rsidR="008423E4" w:rsidRPr="0022177D" w:rsidRDefault="00DF27AD" w:rsidP="00345119">
            <w:pPr>
              <w:pStyle w:val="Heading1"/>
            </w:pPr>
            <w:bookmarkStart w:id="0" w:name="_GoBack"/>
            <w:bookmarkEnd w:id="0"/>
            <w:r w:rsidRPr="00631897">
              <w:t>BILL ANALYSIS</w:t>
            </w:r>
          </w:p>
        </w:tc>
      </w:tr>
    </w:tbl>
    <w:p w:rsidR="008423E4" w:rsidRPr="0022177D" w:rsidRDefault="00DF27AD" w:rsidP="008423E4">
      <w:pPr>
        <w:jc w:val="center"/>
      </w:pPr>
    </w:p>
    <w:p w:rsidR="008423E4" w:rsidRPr="00B31F0E" w:rsidRDefault="00DF27AD" w:rsidP="008423E4"/>
    <w:p w:rsidR="008423E4" w:rsidRPr="00742794" w:rsidRDefault="00DF27AD" w:rsidP="008423E4">
      <w:pPr>
        <w:tabs>
          <w:tab w:val="right" w:pos="9360"/>
        </w:tabs>
      </w:pPr>
    </w:p>
    <w:tbl>
      <w:tblPr>
        <w:tblW w:w="0" w:type="auto"/>
        <w:tblLayout w:type="fixed"/>
        <w:tblLook w:val="01E0" w:firstRow="1" w:lastRow="1" w:firstColumn="1" w:lastColumn="1" w:noHBand="0" w:noVBand="0"/>
      </w:tblPr>
      <w:tblGrid>
        <w:gridCol w:w="9576"/>
      </w:tblGrid>
      <w:tr w:rsidR="008E7358" w:rsidTr="00345119">
        <w:tc>
          <w:tcPr>
            <w:tcW w:w="9576" w:type="dxa"/>
          </w:tcPr>
          <w:p w:rsidR="008423E4" w:rsidRPr="00861995" w:rsidRDefault="00DF27AD" w:rsidP="00345119">
            <w:pPr>
              <w:jc w:val="right"/>
            </w:pPr>
            <w:r>
              <w:t>S.B. 315</w:t>
            </w:r>
          </w:p>
        </w:tc>
      </w:tr>
      <w:tr w:rsidR="008E7358" w:rsidTr="00345119">
        <w:tc>
          <w:tcPr>
            <w:tcW w:w="9576" w:type="dxa"/>
          </w:tcPr>
          <w:p w:rsidR="008423E4" w:rsidRPr="00861995" w:rsidRDefault="00DF27AD" w:rsidP="00345119">
            <w:pPr>
              <w:jc w:val="right"/>
            </w:pPr>
            <w:r>
              <w:t xml:space="preserve">By: </w:t>
            </w:r>
            <w:r>
              <w:t>Hinojosa</w:t>
            </w:r>
          </w:p>
        </w:tc>
      </w:tr>
      <w:tr w:rsidR="008E7358" w:rsidTr="00345119">
        <w:tc>
          <w:tcPr>
            <w:tcW w:w="9576" w:type="dxa"/>
          </w:tcPr>
          <w:p w:rsidR="008423E4" w:rsidRPr="00861995" w:rsidRDefault="00DF27AD" w:rsidP="00345119">
            <w:pPr>
              <w:jc w:val="right"/>
            </w:pPr>
            <w:r>
              <w:t>Public Health</w:t>
            </w:r>
          </w:p>
        </w:tc>
      </w:tr>
      <w:tr w:rsidR="008E7358" w:rsidTr="00345119">
        <w:tc>
          <w:tcPr>
            <w:tcW w:w="9576" w:type="dxa"/>
          </w:tcPr>
          <w:p w:rsidR="008423E4" w:rsidRDefault="00DF27AD" w:rsidP="00345119">
            <w:pPr>
              <w:jc w:val="right"/>
            </w:pPr>
            <w:r>
              <w:t>Committee Report (Unamended)</w:t>
            </w:r>
          </w:p>
        </w:tc>
      </w:tr>
    </w:tbl>
    <w:p w:rsidR="008423E4" w:rsidRDefault="00DF27AD" w:rsidP="008423E4">
      <w:pPr>
        <w:tabs>
          <w:tab w:val="right" w:pos="9360"/>
        </w:tabs>
      </w:pPr>
    </w:p>
    <w:p w:rsidR="008423E4" w:rsidRDefault="00DF27AD" w:rsidP="008423E4"/>
    <w:p w:rsidR="008423E4" w:rsidRDefault="00DF27AD" w:rsidP="008423E4"/>
    <w:tbl>
      <w:tblPr>
        <w:tblW w:w="0" w:type="auto"/>
        <w:tblCellMar>
          <w:left w:w="115" w:type="dxa"/>
          <w:right w:w="115" w:type="dxa"/>
        </w:tblCellMar>
        <w:tblLook w:val="01E0" w:firstRow="1" w:lastRow="1" w:firstColumn="1" w:lastColumn="1" w:noHBand="0" w:noVBand="0"/>
      </w:tblPr>
      <w:tblGrid>
        <w:gridCol w:w="9576"/>
      </w:tblGrid>
      <w:tr w:rsidR="008E7358" w:rsidTr="00345119">
        <w:tc>
          <w:tcPr>
            <w:tcW w:w="9576" w:type="dxa"/>
          </w:tcPr>
          <w:p w:rsidR="008423E4" w:rsidRPr="00A8133F" w:rsidRDefault="00DF27AD" w:rsidP="00A95F09">
            <w:pPr>
              <w:rPr>
                <w:b/>
              </w:rPr>
            </w:pPr>
            <w:r w:rsidRPr="009C1E9A">
              <w:rPr>
                <w:b/>
                <w:u w:val="single"/>
              </w:rPr>
              <w:t>BACKGROUND AND PURPOSE</w:t>
            </w:r>
            <w:r>
              <w:rPr>
                <w:b/>
              </w:rPr>
              <w:t xml:space="preserve"> </w:t>
            </w:r>
          </w:p>
          <w:p w:rsidR="008423E4" w:rsidRDefault="00DF27AD" w:rsidP="00A95F09"/>
          <w:p w:rsidR="008423E4" w:rsidRDefault="00DF27AD" w:rsidP="00A95F09">
            <w:pPr>
              <w:pStyle w:val="Header"/>
              <w:tabs>
                <w:tab w:val="clear" w:pos="4320"/>
                <w:tab w:val="clear" w:pos="8640"/>
              </w:tabs>
              <w:jc w:val="both"/>
            </w:pPr>
            <w:r>
              <w:t>Interested parties note that</w:t>
            </w:r>
            <w:r w:rsidRPr="00893951">
              <w:t xml:space="preserve"> the Sunset Advisory Commission </w:t>
            </w:r>
            <w:r>
              <w:t>indicated as part of</w:t>
            </w:r>
            <w:r w:rsidRPr="00893951">
              <w:t xml:space="preserve"> its review of the Texas Medical Board </w:t>
            </w:r>
            <w:r>
              <w:t>a need to</w:t>
            </w:r>
            <w:r w:rsidRPr="00893951">
              <w:t xml:space="preserve"> clarify the </w:t>
            </w:r>
            <w:r>
              <w:t>board's</w:t>
            </w:r>
            <w:r w:rsidRPr="00893951">
              <w:t xml:space="preserve"> </w:t>
            </w:r>
            <w:r>
              <w:t xml:space="preserve">subpoena power and the board's </w:t>
            </w:r>
            <w:r w:rsidRPr="00893951">
              <w:t>authority to regulate pain management clinics.</w:t>
            </w:r>
            <w:r>
              <w:t xml:space="preserve"> S.B. 315 seeks to provide that clarity.</w:t>
            </w:r>
          </w:p>
          <w:p w:rsidR="008423E4" w:rsidRPr="00E26B13" w:rsidRDefault="00DF27AD" w:rsidP="00A95F09">
            <w:pPr>
              <w:rPr>
                <w:b/>
              </w:rPr>
            </w:pPr>
          </w:p>
        </w:tc>
      </w:tr>
      <w:tr w:rsidR="008E7358" w:rsidTr="00345119">
        <w:tc>
          <w:tcPr>
            <w:tcW w:w="9576" w:type="dxa"/>
          </w:tcPr>
          <w:p w:rsidR="0017725B" w:rsidRDefault="00DF27AD" w:rsidP="00A95F09">
            <w:pPr>
              <w:rPr>
                <w:b/>
                <w:u w:val="single"/>
              </w:rPr>
            </w:pPr>
            <w:r>
              <w:rPr>
                <w:b/>
                <w:u w:val="single"/>
              </w:rPr>
              <w:t>CRIMINAL JUSTICE IMPACT</w:t>
            </w:r>
          </w:p>
          <w:p w:rsidR="0017725B" w:rsidRDefault="00DF27AD" w:rsidP="00A95F09">
            <w:pPr>
              <w:rPr>
                <w:b/>
                <w:u w:val="single"/>
              </w:rPr>
            </w:pPr>
          </w:p>
          <w:p w:rsidR="00893951" w:rsidRPr="00893951" w:rsidRDefault="00DF27AD" w:rsidP="00A95F09">
            <w:pPr>
              <w:jc w:val="both"/>
            </w:pPr>
            <w:r>
              <w:t>It is the committee's opinion that this bill does not expressly create a criminal offense,</w:t>
            </w:r>
            <w:r>
              <w:t xml:space="preserve"> increase the punishment for an existing criminal offense or category of offenses, or change the eligibility of a person for community supervision, parole, or mandatory supervision.</w:t>
            </w:r>
          </w:p>
          <w:p w:rsidR="0017725B" w:rsidRPr="0017725B" w:rsidRDefault="00DF27AD" w:rsidP="00A95F09">
            <w:pPr>
              <w:rPr>
                <w:b/>
                <w:u w:val="single"/>
              </w:rPr>
            </w:pPr>
          </w:p>
        </w:tc>
      </w:tr>
      <w:tr w:rsidR="008E7358" w:rsidTr="00345119">
        <w:tc>
          <w:tcPr>
            <w:tcW w:w="9576" w:type="dxa"/>
          </w:tcPr>
          <w:p w:rsidR="008423E4" w:rsidRPr="00A8133F" w:rsidRDefault="00DF27AD" w:rsidP="00A95F09">
            <w:pPr>
              <w:rPr>
                <w:b/>
              </w:rPr>
            </w:pPr>
            <w:r w:rsidRPr="009C1E9A">
              <w:rPr>
                <w:b/>
                <w:u w:val="single"/>
              </w:rPr>
              <w:t>RULEMAKING AUTHORITY</w:t>
            </w:r>
            <w:r>
              <w:rPr>
                <w:b/>
              </w:rPr>
              <w:t xml:space="preserve"> </w:t>
            </w:r>
          </w:p>
          <w:p w:rsidR="008423E4" w:rsidRDefault="00DF27AD" w:rsidP="00A95F09"/>
          <w:p w:rsidR="00893951" w:rsidRDefault="00DF27AD" w:rsidP="00A95F09">
            <w:pPr>
              <w:pStyle w:val="Header"/>
              <w:tabs>
                <w:tab w:val="clear" w:pos="4320"/>
                <w:tab w:val="clear" w:pos="8640"/>
              </w:tabs>
              <w:jc w:val="both"/>
            </w:pPr>
            <w:r>
              <w:t>It is the committee's opinion that rulemaking aut</w:t>
            </w:r>
            <w:r>
              <w:t>hority is expressly granted to the Texas Medical Board in SECTION 4 of this bill.</w:t>
            </w:r>
          </w:p>
          <w:p w:rsidR="008423E4" w:rsidRPr="00E21FDC" w:rsidRDefault="00DF27AD" w:rsidP="00A95F09">
            <w:pPr>
              <w:rPr>
                <w:b/>
              </w:rPr>
            </w:pPr>
          </w:p>
        </w:tc>
      </w:tr>
      <w:tr w:rsidR="008E7358" w:rsidTr="00345119">
        <w:tc>
          <w:tcPr>
            <w:tcW w:w="9576" w:type="dxa"/>
          </w:tcPr>
          <w:p w:rsidR="008423E4" w:rsidRPr="00A8133F" w:rsidRDefault="00DF27AD" w:rsidP="00A95F09">
            <w:pPr>
              <w:rPr>
                <w:b/>
              </w:rPr>
            </w:pPr>
            <w:r w:rsidRPr="009C1E9A">
              <w:rPr>
                <w:b/>
                <w:u w:val="single"/>
              </w:rPr>
              <w:t>ANALYSIS</w:t>
            </w:r>
            <w:r>
              <w:rPr>
                <w:b/>
              </w:rPr>
              <w:t xml:space="preserve"> </w:t>
            </w:r>
          </w:p>
          <w:p w:rsidR="008423E4" w:rsidRDefault="00DF27AD" w:rsidP="00A95F09"/>
          <w:p w:rsidR="008423E4" w:rsidRDefault="00DF27AD" w:rsidP="00A95F09">
            <w:pPr>
              <w:pStyle w:val="Header"/>
              <w:tabs>
                <w:tab w:val="clear" w:pos="4320"/>
                <w:tab w:val="clear" w:pos="8640"/>
              </w:tabs>
              <w:jc w:val="both"/>
            </w:pPr>
            <w:r>
              <w:t>S.B. 315 amends the Occupations Code to</w:t>
            </w:r>
            <w:r w:rsidRPr="00893951">
              <w:t xml:space="preserve"> authorize the </w:t>
            </w:r>
            <w:r>
              <w:t>Texas M</w:t>
            </w:r>
            <w:r w:rsidRPr="00893951">
              <w:t xml:space="preserve">edical </w:t>
            </w:r>
            <w:r>
              <w:t>B</w:t>
            </w:r>
            <w:r w:rsidRPr="00893951">
              <w:t>oard</w:t>
            </w:r>
            <w:r w:rsidRPr="00893951">
              <w:t xml:space="preserve">, acting through the attorney general, to file suit to enforce a subpoena issued by the board in a district court in Travis County or in a county in which a hearing conducted by the board may be held if a person failed to comply with </w:t>
            </w:r>
            <w:r>
              <w:t>the</w:t>
            </w:r>
            <w:r w:rsidRPr="00893951">
              <w:t xml:space="preserve"> subpoena.</w:t>
            </w:r>
            <w:r>
              <w:t xml:space="preserve"> The bill</w:t>
            </w:r>
            <w:r>
              <w:t xml:space="preserve"> requires the court, on finding that good cause exists for issuing the subpoena, to order the person to comply with the subpoena.</w:t>
            </w:r>
            <w:r w:rsidRPr="00893951">
              <w:t xml:space="preserve"> </w:t>
            </w:r>
            <w:r>
              <w:t xml:space="preserve">The bill establishes legislative findings </w:t>
            </w:r>
            <w:r>
              <w:t>relating to</w:t>
            </w:r>
            <w:r>
              <w:t xml:space="preserve"> the regulation of the prescribing of </w:t>
            </w:r>
            <w:r>
              <w:t>opioids</w:t>
            </w:r>
            <w:r>
              <w:t xml:space="preserve"> and other controlled substa</w:t>
            </w:r>
            <w:r>
              <w:t xml:space="preserve">nces. </w:t>
            </w:r>
            <w:r>
              <w:t>The bill</w:t>
            </w:r>
            <w:r w:rsidRPr="00893951">
              <w:t xml:space="preserve"> specifies that the pain management clinics the board may inspect as necessary to ensure compliance with certain regulations are certified clinics but authorizes the board to inspect a clinic or facility that is not certified to determine whe</w:t>
            </w:r>
            <w:r w:rsidRPr="00893951">
              <w:t>ther the clinic or facility is required to be certified. The bill requires the board by rule to establish the grounds for conducting such an inspection, including certain specified grounds. The bill establishes that</w:t>
            </w:r>
            <w:r>
              <w:t>,</w:t>
            </w:r>
            <w:r w:rsidRPr="00893951">
              <w:t xml:space="preserve"> for purposes of regulating persons affi</w:t>
            </w:r>
            <w:r w:rsidRPr="00893951">
              <w:t>liated with a pain management clinic</w:t>
            </w:r>
            <w:r>
              <w:t>,</w:t>
            </w:r>
            <w:r w:rsidRPr="00893951">
              <w:t xml:space="preserve"> inappropriate prescribing includes nontherapeutic prescribing or other conduct as specified by board rule.</w:t>
            </w:r>
          </w:p>
          <w:p w:rsidR="008423E4" w:rsidRPr="00835628" w:rsidRDefault="00DF27AD" w:rsidP="00A95F09">
            <w:pPr>
              <w:rPr>
                <w:b/>
              </w:rPr>
            </w:pPr>
          </w:p>
        </w:tc>
      </w:tr>
      <w:tr w:rsidR="008E7358" w:rsidTr="00345119">
        <w:tc>
          <w:tcPr>
            <w:tcW w:w="9576" w:type="dxa"/>
          </w:tcPr>
          <w:p w:rsidR="008423E4" w:rsidRPr="00A8133F" w:rsidRDefault="00DF27AD" w:rsidP="00A95F09">
            <w:pPr>
              <w:rPr>
                <w:b/>
              </w:rPr>
            </w:pPr>
            <w:r w:rsidRPr="009C1E9A">
              <w:rPr>
                <w:b/>
                <w:u w:val="single"/>
              </w:rPr>
              <w:t>EFFECTIVE DATE</w:t>
            </w:r>
            <w:r>
              <w:rPr>
                <w:b/>
              </w:rPr>
              <w:t xml:space="preserve"> </w:t>
            </w:r>
          </w:p>
          <w:p w:rsidR="008423E4" w:rsidRDefault="00DF27AD" w:rsidP="00A95F09"/>
          <w:p w:rsidR="008423E4" w:rsidRPr="003624F2" w:rsidRDefault="00DF27AD" w:rsidP="00A95F09">
            <w:pPr>
              <w:pStyle w:val="Header"/>
              <w:tabs>
                <w:tab w:val="clear" w:pos="4320"/>
                <w:tab w:val="clear" w:pos="8640"/>
              </w:tabs>
              <w:jc w:val="both"/>
            </w:pPr>
            <w:r>
              <w:t>September 1, 2017.</w:t>
            </w:r>
          </w:p>
          <w:p w:rsidR="008423E4" w:rsidRPr="00233FDB" w:rsidRDefault="00DF27AD" w:rsidP="00A95F09">
            <w:pPr>
              <w:rPr>
                <w:b/>
              </w:rPr>
            </w:pPr>
          </w:p>
        </w:tc>
      </w:tr>
    </w:tbl>
    <w:p w:rsidR="008423E4" w:rsidRPr="00BE0E75" w:rsidRDefault="00DF27AD" w:rsidP="008423E4">
      <w:pPr>
        <w:spacing w:line="480" w:lineRule="auto"/>
        <w:jc w:val="both"/>
        <w:rPr>
          <w:rFonts w:ascii="Arial" w:hAnsi="Arial"/>
          <w:sz w:val="16"/>
          <w:szCs w:val="16"/>
        </w:rPr>
      </w:pPr>
    </w:p>
    <w:p w:rsidR="004108C3" w:rsidRPr="008423E4" w:rsidRDefault="00DF27A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27AD">
      <w:r>
        <w:separator/>
      </w:r>
    </w:p>
  </w:endnote>
  <w:endnote w:type="continuationSeparator" w:id="0">
    <w:p w:rsidR="00000000" w:rsidRDefault="00DF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E7358" w:rsidTr="009C1E9A">
      <w:trPr>
        <w:cantSplit/>
      </w:trPr>
      <w:tc>
        <w:tcPr>
          <w:tcW w:w="0" w:type="pct"/>
        </w:tcPr>
        <w:p w:rsidR="00137D90" w:rsidRDefault="00DF27AD" w:rsidP="009C1E9A">
          <w:pPr>
            <w:pStyle w:val="Footer"/>
            <w:tabs>
              <w:tab w:val="clear" w:pos="8640"/>
              <w:tab w:val="right" w:pos="9360"/>
            </w:tabs>
          </w:pPr>
        </w:p>
      </w:tc>
      <w:tc>
        <w:tcPr>
          <w:tcW w:w="2395" w:type="pct"/>
        </w:tcPr>
        <w:p w:rsidR="00137D90" w:rsidRDefault="00DF27AD" w:rsidP="009C1E9A">
          <w:pPr>
            <w:pStyle w:val="Footer"/>
            <w:tabs>
              <w:tab w:val="clear" w:pos="8640"/>
              <w:tab w:val="right" w:pos="9360"/>
            </w:tabs>
          </w:pPr>
        </w:p>
        <w:p w:rsidR="001A4310" w:rsidRDefault="00DF27AD" w:rsidP="009C1E9A">
          <w:pPr>
            <w:pStyle w:val="Footer"/>
            <w:tabs>
              <w:tab w:val="clear" w:pos="8640"/>
              <w:tab w:val="right" w:pos="9360"/>
            </w:tabs>
          </w:pPr>
        </w:p>
        <w:p w:rsidR="00137D90" w:rsidRDefault="00DF27AD" w:rsidP="009C1E9A">
          <w:pPr>
            <w:pStyle w:val="Footer"/>
            <w:tabs>
              <w:tab w:val="clear" w:pos="8640"/>
              <w:tab w:val="right" w:pos="9360"/>
            </w:tabs>
          </w:pPr>
        </w:p>
      </w:tc>
      <w:tc>
        <w:tcPr>
          <w:tcW w:w="2453" w:type="pct"/>
        </w:tcPr>
        <w:p w:rsidR="00137D90" w:rsidRDefault="00DF27AD" w:rsidP="009C1E9A">
          <w:pPr>
            <w:pStyle w:val="Footer"/>
            <w:tabs>
              <w:tab w:val="clear" w:pos="8640"/>
              <w:tab w:val="right" w:pos="9360"/>
            </w:tabs>
            <w:jc w:val="right"/>
          </w:pPr>
        </w:p>
      </w:tc>
    </w:tr>
    <w:tr w:rsidR="008E7358" w:rsidTr="009C1E9A">
      <w:trPr>
        <w:cantSplit/>
      </w:trPr>
      <w:tc>
        <w:tcPr>
          <w:tcW w:w="0" w:type="pct"/>
        </w:tcPr>
        <w:p w:rsidR="00EC379B" w:rsidRDefault="00DF27AD" w:rsidP="009C1E9A">
          <w:pPr>
            <w:pStyle w:val="Footer"/>
            <w:tabs>
              <w:tab w:val="clear" w:pos="8640"/>
              <w:tab w:val="right" w:pos="9360"/>
            </w:tabs>
          </w:pPr>
        </w:p>
      </w:tc>
      <w:tc>
        <w:tcPr>
          <w:tcW w:w="2395" w:type="pct"/>
        </w:tcPr>
        <w:p w:rsidR="00EC379B" w:rsidRPr="009C1E9A" w:rsidRDefault="00DF27AD" w:rsidP="009C1E9A">
          <w:pPr>
            <w:pStyle w:val="Footer"/>
            <w:tabs>
              <w:tab w:val="clear" w:pos="8640"/>
              <w:tab w:val="right" w:pos="9360"/>
            </w:tabs>
            <w:rPr>
              <w:rFonts w:ascii="Shruti" w:hAnsi="Shruti"/>
              <w:sz w:val="22"/>
            </w:rPr>
          </w:pPr>
          <w:r>
            <w:rPr>
              <w:rFonts w:ascii="Shruti" w:hAnsi="Shruti"/>
              <w:sz w:val="22"/>
            </w:rPr>
            <w:t>85R 30786</w:t>
          </w:r>
        </w:p>
      </w:tc>
      <w:tc>
        <w:tcPr>
          <w:tcW w:w="2453" w:type="pct"/>
        </w:tcPr>
        <w:p w:rsidR="00EC379B" w:rsidRDefault="00DF27AD" w:rsidP="009C1E9A">
          <w:pPr>
            <w:pStyle w:val="Footer"/>
            <w:tabs>
              <w:tab w:val="clear" w:pos="8640"/>
              <w:tab w:val="right" w:pos="9360"/>
            </w:tabs>
            <w:jc w:val="right"/>
          </w:pPr>
          <w:r>
            <w:fldChar w:fldCharType="begin"/>
          </w:r>
          <w:r>
            <w:instrText xml:space="preserve"> DOCPROPERTY  OTID  \* MERGEFORMAT </w:instrText>
          </w:r>
          <w:r>
            <w:fldChar w:fldCharType="separate"/>
          </w:r>
          <w:r>
            <w:t>17.132.813</w:t>
          </w:r>
          <w:r>
            <w:fldChar w:fldCharType="end"/>
          </w:r>
        </w:p>
      </w:tc>
    </w:tr>
    <w:tr w:rsidR="008E7358" w:rsidTr="009C1E9A">
      <w:trPr>
        <w:cantSplit/>
      </w:trPr>
      <w:tc>
        <w:tcPr>
          <w:tcW w:w="0" w:type="pct"/>
        </w:tcPr>
        <w:p w:rsidR="00EC379B" w:rsidRDefault="00DF27AD" w:rsidP="009C1E9A">
          <w:pPr>
            <w:pStyle w:val="Footer"/>
            <w:tabs>
              <w:tab w:val="clear" w:pos="4320"/>
              <w:tab w:val="clear" w:pos="8640"/>
              <w:tab w:val="left" w:pos="2865"/>
            </w:tabs>
          </w:pPr>
        </w:p>
      </w:tc>
      <w:tc>
        <w:tcPr>
          <w:tcW w:w="2395" w:type="pct"/>
        </w:tcPr>
        <w:p w:rsidR="00EC379B" w:rsidRPr="009C1E9A" w:rsidRDefault="00DF27AD" w:rsidP="009C1E9A">
          <w:pPr>
            <w:pStyle w:val="Footer"/>
            <w:tabs>
              <w:tab w:val="clear" w:pos="4320"/>
              <w:tab w:val="clear" w:pos="8640"/>
              <w:tab w:val="left" w:pos="2865"/>
            </w:tabs>
            <w:rPr>
              <w:rFonts w:ascii="Shruti" w:hAnsi="Shruti"/>
              <w:sz w:val="22"/>
            </w:rPr>
          </w:pPr>
        </w:p>
      </w:tc>
      <w:tc>
        <w:tcPr>
          <w:tcW w:w="2453" w:type="pct"/>
        </w:tcPr>
        <w:p w:rsidR="00EC379B" w:rsidRDefault="00DF27AD" w:rsidP="006D504F">
          <w:pPr>
            <w:pStyle w:val="Footer"/>
            <w:rPr>
              <w:rStyle w:val="PageNumber"/>
            </w:rPr>
          </w:pPr>
        </w:p>
        <w:p w:rsidR="00EC379B" w:rsidRDefault="00DF27AD" w:rsidP="009C1E9A">
          <w:pPr>
            <w:pStyle w:val="Footer"/>
            <w:tabs>
              <w:tab w:val="clear" w:pos="8640"/>
              <w:tab w:val="right" w:pos="9360"/>
            </w:tabs>
            <w:jc w:val="right"/>
          </w:pPr>
        </w:p>
      </w:tc>
    </w:tr>
    <w:tr w:rsidR="008E7358" w:rsidTr="009C1E9A">
      <w:trPr>
        <w:cantSplit/>
        <w:trHeight w:val="323"/>
      </w:trPr>
      <w:tc>
        <w:tcPr>
          <w:tcW w:w="0" w:type="pct"/>
          <w:gridSpan w:val="3"/>
        </w:tcPr>
        <w:p w:rsidR="00EC379B" w:rsidRDefault="00DF27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F27AD" w:rsidP="009C1E9A">
          <w:pPr>
            <w:pStyle w:val="Footer"/>
            <w:tabs>
              <w:tab w:val="clear" w:pos="8640"/>
              <w:tab w:val="right" w:pos="9360"/>
            </w:tabs>
            <w:jc w:val="center"/>
          </w:pPr>
        </w:p>
      </w:tc>
    </w:tr>
  </w:tbl>
  <w:p w:rsidR="00EC379B" w:rsidRPr="00FF6F72" w:rsidRDefault="00DF27A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27AD">
      <w:r>
        <w:separator/>
      </w:r>
    </w:p>
  </w:footnote>
  <w:footnote w:type="continuationSeparator" w:id="0">
    <w:p w:rsidR="00000000" w:rsidRDefault="00DF2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58"/>
    <w:rsid w:val="008E7358"/>
    <w:rsid w:val="00DF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93951"/>
    <w:rPr>
      <w:sz w:val="16"/>
      <w:szCs w:val="16"/>
    </w:rPr>
  </w:style>
  <w:style w:type="paragraph" w:styleId="CommentText">
    <w:name w:val="annotation text"/>
    <w:basedOn w:val="Normal"/>
    <w:link w:val="CommentTextChar"/>
    <w:rsid w:val="00893951"/>
    <w:rPr>
      <w:sz w:val="20"/>
      <w:szCs w:val="20"/>
    </w:rPr>
  </w:style>
  <w:style w:type="character" w:customStyle="1" w:styleId="CommentTextChar">
    <w:name w:val="Comment Text Char"/>
    <w:basedOn w:val="DefaultParagraphFont"/>
    <w:link w:val="CommentText"/>
    <w:rsid w:val="00893951"/>
  </w:style>
  <w:style w:type="paragraph" w:styleId="CommentSubject">
    <w:name w:val="annotation subject"/>
    <w:basedOn w:val="CommentText"/>
    <w:next w:val="CommentText"/>
    <w:link w:val="CommentSubjectChar"/>
    <w:rsid w:val="00893951"/>
    <w:rPr>
      <w:b/>
      <w:bCs/>
    </w:rPr>
  </w:style>
  <w:style w:type="character" w:customStyle="1" w:styleId="CommentSubjectChar">
    <w:name w:val="Comment Subject Char"/>
    <w:basedOn w:val="CommentTextChar"/>
    <w:link w:val="CommentSubject"/>
    <w:rsid w:val="00893951"/>
    <w:rPr>
      <w:b/>
      <w:bCs/>
    </w:rPr>
  </w:style>
  <w:style w:type="paragraph" w:styleId="Revision">
    <w:name w:val="Revision"/>
    <w:hidden/>
    <w:uiPriority w:val="99"/>
    <w:semiHidden/>
    <w:rsid w:val="001343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93951"/>
    <w:rPr>
      <w:sz w:val="16"/>
      <w:szCs w:val="16"/>
    </w:rPr>
  </w:style>
  <w:style w:type="paragraph" w:styleId="CommentText">
    <w:name w:val="annotation text"/>
    <w:basedOn w:val="Normal"/>
    <w:link w:val="CommentTextChar"/>
    <w:rsid w:val="00893951"/>
    <w:rPr>
      <w:sz w:val="20"/>
      <w:szCs w:val="20"/>
    </w:rPr>
  </w:style>
  <w:style w:type="character" w:customStyle="1" w:styleId="CommentTextChar">
    <w:name w:val="Comment Text Char"/>
    <w:basedOn w:val="DefaultParagraphFont"/>
    <w:link w:val="CommentText"/>
    <w:rsid w:val="00893951"/>
  </w:style>
  <w:style w:type="paragraph" w:styleId="CommentSubject">
    <w:name w:val="annotation subject"/>
    <w:basedOn w:val="CommentText"/>
    <w:next w:val="CommentText"/>
    <w:link w:val="CommentSubjectChar"/>
    <w:rsid w:val="00893951"/>
    <w:rPr>
      <w:b/>
      <w:bCs/>
    </w:rPr>
  </w:style>
  <w:style w:type="character" w:customStyle="1" w:styleId="CommentSubjectChar">
    <w:name w:val="Comment Subject Char"/>
    <w:basedOn w:val="CommentTextChar"/>
    <w:link w:val="CommentSubject"/>
    <w:rsid w:val="00893951"/>
    <w:rPr>
      <w:b/>
      <w:bCs/>
    </w:rPr>
  </w:style>
  <w:style w:type="paragraph" w:styleId="Revision">
    <w:name w:val="Revision"/>
    <w:hidden/>
    <w:uiPriority w:val="99"/>
    <w:semiHidden/>
    <w:rsid w:val="00134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1773</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SB00315 (Committee Report (Unamended))</vt:lpstr>
    </vt:vector>
  </TitlesOfParts>
  <Company>State of Texas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30786</dc:subject>
  <dc:creator>State of Texas</dc:creator>
  <dc:description>SB 315 by Hinojosa-(H)Public Health</dc:description>
  <cp:lastModifiedBy>Molly Hoffman-Bricker</cp:lastModifiedBy>
  <cp:revision>2</cp:revision>
  <cp:lastPrinted>2017-05-12T21:59:00Z</cp:lastPrinted>
  <dcterms:created xsi:type="dcterms:W3CDTF">2017-05-19T20:31:00Z</dcterms:created>
  <dcterms:modified xsi:type="dcterms:W3CDTF">2017-05-19T20:31:00Z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17.132.813</vt:lpwstr>
  </property>
</Properties>
</file>