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1D15EF" w:rsidTr="00345119">
        <w:tc>
          <w:tcPr>
            <w:tcW w:w="9576" w:type="dxa"/>
            <w:noWrap/>
          </w:tcPr>
          <w:p w:rsidR="008423E4" w:rsidRPr="0022177D" w:rsidRDefault="005034EE" w:rsidP="00345119">
            <w:pPr>
              <w:pStyle w:val="Heading1"/>
            </w:pPr>
            <w:bookmarkStart w:id="0" w:name="_GoBack"/>
            <w:bookmarkEnd w:id="0"/>
            <w:r w:rsidRPr="00631897">
              <w:t>BILL ANALYSIS</w:t>
            </w:r>
          </w:p>
        </w:tc>
      </w:tr>
    </w:tbl>
    <w:p w:rsidR="008423E4" w:rsidRPr="0022177D" w:rsidRDefault="005034EE" w:rsidP="008423E4">
      <w:pPr>
        <w:jc w:val="center"/>
      </w:pPr>
    </w:p>
    <w:p w:rsidR="008423E4" w:rsidRPr="00B31F0E" w:rsidRDefault="005034EE" w:rsidP="008423E4"/>
    <w:p w:rsidR="008423E4" w:rsidRPr="00742794" w:rsidRDefault="005034EE" w:rsidP="008423E4">
      <w:pPr>
        <w:tabs>
          <w:tab w:val="right" w:pos="9360"/>
        </w:tabs>
      </w:pPr>
    </w:p>
    <w:tbl>
      <w:tblPr>
        <w:tblW w:w="0" w:type="auto"/>
        <w:tblLayout w:type="fixed"/>
        <w:tblLook w:val="01E0" w:firstRow="1" w:lastRow="1" w:firstColumn="1" w:lastColumn="1" w:noHBand="0" w:noVBand="0"/>
      </w:tblPr>
      <w:tblGrid>
        <w:gridCol w:w="9576"/>
      </w:tblGrid>
      <w:tr w:rsidR="001D15EF" w:rsidTr="00345119">
        <w:tc>
          <w:tcPr>
            <w:tcW w:w="9576" w:type="dxa"/>
          </w:tcPr>
          <w:p w:rsidR="008423E4" w:rsidRPr="00861995" w:rsidRDefault="005034EE" w:rsidP="00345119">
            <w:pPr>
              <w:jc w:val="right"/>
            </w:pPr>
            <w:r>
              <w:t>S.B. 399</w:t>
            </w:r>
          </w:p>
        </w:tc>
      </w:tr>
      <w:tr w:rsidR="001D15EF" w:rsidTr="00345119">
        <w:tc>
          <w:tcPr>
            <w:tcW w:w="9576" w:type="dxa"/>
          </w:tcPr>
          <w:p w:rsidR="008423E4" w:rsidRPr="00861995" w:rsidRDefault="005034EE" w:rsidP="00345119">
            <w:pPr>
              <w:jc w:val="right"/>
            </w:pPr>
            <w:r>
              <w:t xml:space="preserve">By: </w:t>
            </w:r>
            <w:r>
              <w:t>Kolkhorst</w:t>
            </w:r>
          </w:p>
        </w:tc>
      </w:tr>
      <w:tr w:rsidR="001D15EF" w:rsidTr="00345119">
        <w:tc>
          <w:tcPr>
            <w:tcW w:w="9576" w:type="dxa"/>
          </w:tcPr>
          <w:p w:rsidR="008423E4" w:rsidRPr="00861995" w:rsidRDefault="005034EE" w:rsidP="00345119">
            <w:pPr>
              <w:jc w:val="right"/>
            </w:pPr>
            <w:r>
              <w:t>Transportation</w:t>
            </w:r>
          </w:p>
        </w:tc>
      </w:tr>
      <w:tr w:rsidR="001D15EF" w:rsidTr="00345119">
        <w:tc>
          <w:tcPr>
            <w:tcW w:w="9576" w:type="dxa"/>
          </w:tcPr>
          <w:p w:rsidR="008423E4" w:rsidRDefault="005034EE" w:rsidP="00345119">
            <w:pPr>
              <w:jc w:val="right"/>
            </w:pPr>
            <w:r>
              <w:t>Committee Report (Unamended)</w:t>
            </w:r>
          </w:p>
        </w:tc>
      </w:tr>
    </w:tbl>
    <w:p w:rsidR="008423E4" w:rsidRDefault="005034EE" w:rsidP="008423E4">
      <w:pPr>
        <w:tabs>
          <w:tab w:val="right" w:pos="9360"/>
        </w:tabs>
      </w:pPr>
    </w:p>
    <w:p w:rsidR="008423E4" w:rsidRDefault="005034EE" w:rsidP="008423E4"/>
    <w:p w:rsidR="008423E4" w:rsidRDefault="005034EE" w:rsidP="008423E4"/>
    <w:tbl>
      <w:tblPr>
        <w:tblW w:w="0" w:type="auto"/>
        <w:tblCellMar>
          <w:left w:w="115" w:type="dxa"/>
          <w:right w:w="115" w:type="dxa"/>
        </w:tblCellMar>
        <w:tblLook w:val="01E0" w:firstRow="1" w:lastRow="1" w:firstColumn="1" w:lastColumn="1" w:noHBand="0" w:noVBand="0"/>
      </w:tblPr>
      <w:tblGrid>
        <w:gridCol w:w="9576"/>
      </w:tblGrid>
      <w:tr w:rsidR="001D15EF" w:rsidTr="00345119">
        <w:tc>
          <w:tcPr>
            <w:tcW w:w="9576" w:type="dxa"/>
          </w:tcPr>
          <w:p w:rsidR="008423E4" w:rsidRPr="00A8133F" w:rsidRDefault="005034EE" w:rsidP="0040400B">
            <w:pPr>
              <w:rPr>
                <w:b/>
              </w:rPr>
            </w:pPr>
            <w:r w:rsidRPr="009C1E9A">
              <w:rPr>
                <w:b/>
                <w:u w:val="single"/>
              </w:rPr>
              <w:t>BACKGROUND AND PURPOSE</w:t>
            </w:r>
            <w:r>
              <w:rPr>
                <w:b/>
              </w:rPr>
              <w:t xml:space="preserve"> </w:t>
            </w:r>
          </w:p>
          <w:p w:rsidR="008423E4" w:rsidRDefault="005034EE" w:rsidP="0040400B"/>
          <w:p w:rsidR="008423E4" w:rsidRDefault="005034EE" w:rsidP="0040400B">
            <w:pPr>
              <w:pStyle w:val="Header"/>
              <w:jc w:val="both"/>
            </w:pPr>
            <w:r>
              <w:t>Interested parties contend that some tolling entities have recently taken advantage of an unintended loophole in state law that allows these entities to use frontage lanes to satisfy certain requirements for the reconstruction of a highway segment as a tol</w:t>
            </w:r>
            <w:r>
              <w:t>l project based on the number of existing nontolled lanes</w:t>
            </w:r>
            <w:r>
              <w:t xml:space="preserve">. S.B. 399 </w:t>
            </w:r>
            <w:r>
              <w:t xml:space="preserve">seeks to address this </w:t>
            </w:r>
            <w:r>
              <w:t>loophole</w:t>
            </w:r>
            <w:r>
              <w:t xml:space="preserve"> by </w:t>
            </w:r>
            <w:r>
              <w:t>revising the criteria for the operation of a nontolled state highway or segment of a nontolled state highway as a toll project</w:t>
            </w:r>
            <w:r>
              <w:t>.</w:t>
            </w:r>
          </w:p>
          <w:p w:rsidR="008423E4" w:rsidRPr="00E26B13" w:rsidRDefault="005034EE" w:rsidP="0040400B">
            <w:pPr>
              <w:rPr>
                <w:b/>
              </w:rPr>
            </w:pPr>
          </w:p>
        </w:tc>
      </w:tr>
      <w:tr w:rsidR="001D15EF" w:rsidTr="00345119">
        <w:tc>
          <w:tcPr>
            <w:tcW w:w="9576" w:type="dxa"/>
          </w:tcPr>
          <w:p w:rsidR="0017725B" w:rsidRDefault="005034EE" w:rsidP="0040400B">
            <w:pPr>
              <w:rPr>
                <w:b/>
                <w:u w:val="single"/>
              </w:rPr>
            </w:pPr>
            <w:r>
              <w:rPr>
                <w:b/>
                <w:u w:val="single"/>
              </w:rPr>
              <w:t>CRIMINAL JUSTICE IMPACT</w:t>
            </w:r>
          </w:p>
          <w:p w:rsidR="0017725B" w:rsidRDefault="005034EE" w:rsidP="0040400B">
            <w:pPr>
              <w:rPr>
                <w:b/>
                <w:u w:val="single"/>
              </w:rPr>
            </w:pPr>
          </w:p>
          <w:p w:rsidR="00487998" w:rsidRPr="00487998" w:rsidRDefault="005034EE" w:rsidP="0040400B">
            <w:pPr>
              <w:jc w:val="both"/>
            </w:pPr>
            <w:r>
              <w:t>It is the committee's opinion that this bill does not expressly create a criminal offense, increase the punishment for an existing criminal offense or category of offenses, or change the eligibility of a person for community supervision, parole, or mandat</w:t>
            </w:r>
            <w:r>
              <w:t>ory supervision.</w:t>
            </w:r>
          </w:p>
          <w:p w:rsidR="0017725B" w:rsidRPr="0017725B" w:rsidRDefault="005034EE" w:rsidP="0040400B">
            <w:pPr>
              <w:rPr>
                <w:b/>
                <w:u w:val="single"/>
              </w:rPr>
            </w:pPr>
          </w:p>
        </w:tc>
      </w:tr>
      <w:tr w:rsidR="001D15EF" w:rsidTr="00345119">
        <w:tc>
          <w:tcPr>
            <w:tcW w:w="9576" w:type="dxa"/>
          </w:tcPr>
          <w:p w:rsidR="008423E4" w:rsidRPr="00A8133F" w:rsidRDefault="005034EE" w:rsidP="0040400B">
            <w:pPr>
              <w:rPr>
                <w:b/>
              </w:rPr>
            </w:pPr>
            <w:r w:rsidRPr="009C1E9A">
              <w:rPr>
                <w:b/>
                <w:u w:val="single"/>
              </w:rPr>
              <w:t>RULEMAKING AUTHORITY</w:t>
            </w:r>
            <w:r>
              <w:rPr>
                <w:b/>
              </w:rPr>
              <w:t xml:space="preserve"> </w:t>
            </w:r>
          </w:p>
          <w:p w:rsidR="008423E4" w:rsidRDefault="005034EE" w:rsidP="0040400B"/>
          <w:p w:rsidR="00487998" w:rsidRDefault="005034EE" w:rsidP="0040400B">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5034EE" w:rsidP="0040400B">
            <w:pPr>
              <w:rPr>
                <w:b/>
              </w:rPr>
            </w:pPr>
          </w:p>
        </w:tc>
      </w:tr>
      <w:tr w:rsidR="001D15EF" w:rsidTr="00345119">
        <w:tc>
          <w:tcPr>
            <w:tcW w:w="9576" w:type="dxa"/>
          </w:tcPr>
          <w:p w:rsidR="008423E4" w:rsidRPr="00A8133F" w:rsidRDefault="005034EE" w:rsidP="0040400B">
            <w:pPr>
              <w:rPr>
                <w:b/>
              </w:rPr>
            </w:pPr>
            <w:r w:rsidRPr="009C1E9A">
              <w:rPr>
                <w:b/>
                <w:u w:val="single"/>
              </w:rPr>
              <w:t>ANALYSIS</w:t>
            </w:r>
            <w:r>
              <w:rPr>
                <w:b/>
              </w:rPr>
              <w:t xml:space="preserve"> </w:t>
            </w:r>
          </w:p>
          <w:p w:rsidR="008423E4" w:rsidRDefault="005034EE" w:rsidP="0040400B"/>
          <w:p w:rsidR="008423E4" w:rsidRDefault="005034EE" w:rsidP="0040400B">
            <w:pPr>
              <w:pStyle w:val="Header"/>
              <w:tabs>
                <w:tab w:val="clear" w:pos="4320"/>
                <w:tab w:val="clear" w:pos="8640"/>
              </w:tabs>
              <w:jc w:val="both"/>
            </w:pPr>
            <w:r>
              <w:t xml:space="preserve">S.B. 399 amends the Transportation Code to </w:t>
            </w:r>
            <w:r>
              <w:t>authorize the</w:t>
            </w:r>
            <w:r>
              <w:t xml:space="preserve"> </w:t>
            </w:r>
            <w:r w:rsidRPr="00487998">
              <w:t>Texas Department of Transportation (TxDOT)</w:t>
            </w:r>
            <w:r>
              <w:t>,</w:t>
            </w:r>
            <w:r>
              <w:t xml:space="preserve"> in determining the number of nontolled lanes required to </w:t>
            </w:r>
            <w:r>
              <w:t>satisfy</w:t>
            </w:r>
            <w:r>
              <w:t xml:space="preserve"> </w:t>
            </w:r>
            <w:r>
              <w:t>the</w:t>
            </w:r>
            <w:r>
              <w:t xml:space="preserve"> exception </w:t>
            </w:r>
            <w:r>
              <w:t>based on the reconstruction of a highway or highway segment</w:t>
            </w:r>
            <w:r>
              <w:t xml:space="preserve"> that achieves a certain number of nontolled lanes</w:t>
            </w:r>
            <w:r>
              <w:t xml:space="preserve"> </w:t>
            </w:r>
            <w:r>
              <w:t>to</w:t>
            </w:r>
            <w:r>
              <w:t xml:space="preserve"> the prohibition against TxDOT operating a nontolled state highway or segment of a nontolled state highway as a toll project and transferring a highway or segment to another entity for operation as a tol</w:t>
            </w:r>
            <w:r>
              <w:t>l project</w:t>
            </w:r>
            <w:r>
              <w:t>,</w:t>
            </w:r>
            <w:r>
              <w:t xml:space="preserve"> </w:t>
            </w:r>
            <w:r>
              <w:t>to</w:t>
            </w:r>
            <w:r>
              <w:t xml:space="preserve"> consider</w:t>
            </w:r>
            <w:r>
              <w:t xml:space="preserve"> only</w:t>
            </w:r>
            <w:r>
              <w:t xml:space="preserve"> </w:t>
            </w:r>
            <w:r w:rsidRPr="00487998">
              <w:t>a general-purpose lane that is part of the highway</w:t>
            </w:r>
            <w:r>
              <w:t>. The bill</w:t>
            </w:r>
            <w:r>
              <w:t xml:space="preserve"> prohibit</w:t>
            </w:r>
            <w:r>
              <w:t>s</w:t>
            </w:r>
            <w:r>
              <w:t xml:space="preserve"> TxDOT </w:t>
            </w:r>
            <w:r>
              <w:t xml:space="preserve">in making such a determination </w:t>
            </w:r>
            <w:r>
              <w:t xml:space="preserve">from considering </w:t>
            </w:r>
            <w:r w:rsidRPr="00487998">
              <w:t>a lane of a frontage road to be a nontolled lane before or after reconstruction of the highway.</w:t>
            </w:r>
          </w:p>
          <w:p w:rsidR="008423E4" w:rsidRPr="00835628" w:rsidRDefault="005034EE" w:rsidP="0040400B">
            <w:pPr>
              <w:rPr>
                <w:b/>
              </w:rPr>
            </w:pPr>
          </w:p>
        </w:tc>
      </w:tr>
      <w:tr w:rsidR="001D15EF" w:rsidTr="00345119">
        <w:tc>
          <w:tcPr>
            <w:tcW w:w="9576" w:type="dxa"/>
          </w:tcPr>
          <w:p w:rsidR="008423E4" w:rsidRPr="00A8133F" w:rsidRDefault="005034EE" w:rsidP="0040400B">
            <w:pPr>
              <w:rPr>
                <w:b/>
              </w:rPr>
            </w:pPr>
            <w:r w:rsidRPr="009C1E9A">
              <w:rPr>
                <w:b/>
                <w:u w:val="single"/>
              </w:rPr>
              <w:t>EFFEC</w:t>
            </w:r>
            <w:r w:rsidRPr="009C1E9A">
              <w:rPr>
                <w:b/>
                <w:u w:val="single"/>
              </w:rPr>
              <w:t>TIVE DATE</w:t>
            </w:r>
            <w:r>
              <w:rPr>
                <w:b/>
              </w:rPr>
              <w:t xml:space="preserve"> </w:t>
            </w:r>
          </w:p>
          <w:p w:rsidR="008423E4" w:rsidRDefault="005034EE" w:rsidP="0040400B"/>
          <w:p w:rsidR="008423E4" w:rsidRPr="003624F2" w:rsidRDefault="005034EE" w:rsidP="0040400B">
            <w:pPr>
              <w:pStyle w:val="Header"/>
              <w:tabs>
                <w:tab w:val="clear" w:pos="4320"/>
                <w:tab w:val="clear" w:pos="8640"/>
              </w:tabs>
              <w:jc w:val="both"/>
            </w:pPr>
            <w:r>
              <w:t>September 1, 2017.</w:t>
            </w:r>
          </w:p>
          <w:p w:rsidR="008423E4" w:rsidRPr="00233FDB" w:rsidRDefault="005034EE" w:rsidP="0040400B">
            <w:pPr>
              <w:rPr>
                <w:b/>
              </w:rPr>
            </w:pPr>
          </w:p>
        </w:tc>
      </w:tr>
    </w:tbl>
    <w:p w:rsidR="008423E4" w:rsidRPr="00BE0E75" w:rsidRDefault="005034EE" w:rsidP="008423E4">
      <w:pPr>
        <w:spacing w:line="480" w:lineRule="auto"/>
        <w:jc w:val="both"/>
        <w:rPr>
          <w:rFonts w:ascii="Arial" w:hAnsi="Arial"/>
          <w:sz w:val="16"/>
          <w:szCs w:val="16"/>
        </w:rPr>
      </w:pPr>
    </w:p>
    <w:p w:rsidR="004108C3" w:rsidRPr="008423E4" w:rsidRDefault="005034EE"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5034EE">
      <w:r>
        <w:separator/>
      </w:r>
    </w:p>
  </w:endnote>
  <w:endnote w:type="continuationSeparator" w:id="0">
    <w:p w:rsidR="00000000" w:rsidRDefault="00503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5034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1D15EF" w:rsidTr="009C1E9A">
      <w:trPr>
        <w:cantSplit/>
      </w:trPr>
      <w:tc>
        <w:tcPr>
          <w:tcW w:w="0" w:type="pct"/>
        </w:tcPr>
        <w:p w:rsidR="00137D90" w:rsidRDefault="005034EE" w:rsidP="009C1E9A">
          <w:pPr>
            <w:pStyle w:val="Footer"/>
            <w:tabs>
              <w:tab w:val="clear" w:pos="8640"/>
              <w:tab w:val="right" w:pos="9360"/>
            </w:tabs>
          </w:pPr>
        </w:p>
      </w:tc>
      <w:tc>
        <w:tcPr>
          <w:tcW w:w="2395" w:type="pct"/>
        </w:tcPr>
        <w:p w:rsidR="00137D90" w:rsidRDefault="005034EE" w:rsidP="009C1E9A">
          <w:pPr>
            <w:pStyle w:val="Footer"/>
            <w:tabs>
              <w:tab w:val="clear" w:pos="8640"/>
              <w:tab w:val="right" w:pos="9360"/>
            </w:tabs>
          </w:pPr>
        </w:p>
        <w:p w:rsidR="001A4310" w:rsidRDefault="005034EE" w:rsidP="009C1E9A">
          <w:pPr>
            <w:pStyle w:val="Footer"/>
            <w:tabs>
              <w:tab w:val="clear" w:pos="8640"/>
              <w:tab w:val="right" w:pos="9360"/>
            </w:tabs>
          </w:pPr>
        </w:p>
        <w:p w:rsidR="00137D90" w:rsidRDefault="005034EE" w:rsidP="009C1E9A">
          <w:pPr>
            <w:pStyle w:val="Footer"/>
            <w:tabs>
              <w:tab w:val="clear" w:pos="8640"/>
              <w:tab w:val="right" w:pos="9360"/>
            </w:tabs>
          </w:pPr>
        </w:p>
      </w:tc>
      <w:tc>
        <w:tcPr>
          <w:tcW w:w="2453" w:type="pct"/>
        </w:tcPr>
        <w:p w:rsidR="00137D90" w:rsidRDefault="005034EE" w:rsidP="009C1E9A">
          <w:pPr>
            <w:pStyle w:val="Footer"/>
            <w:tabs>
              <w:tab w:val="clear" w:pos="8640"/>
              <w:tab w:val="right" w:pos="9360"/>
            </w:tabs>
            <w:jc w:val="right"/>
          </w:pPr>
        </w:p>
      </w:tc>
    </w:tr>
    <w:tr w:rsidR="001D15EF" w:rsidTr="009C1E9A">
      <w:trPr>
        <w:cantSplit/>
      </w:trPr>
      <w:tc>
        <w:tcPr>
          <w:tcW w:w="0" w:type="pct"/>
        </w:tcPr>
        <w:p w:rsidR="00EC379B" w:rsidRDefault="005034EE" w:rsidP="009C1E9A">
          <w:pPr>
            <w:pStyle w:val="Footer"/>
            <w:tabs>
              <w:tab w:val="clear" w:pos="8640"/>
              <w:tab w:val="right" w:pos="9360"/>
            </w:tabs>
          </w:pPr>
        </w:p>
      </w:tc>
      <w:tc>
        <w:tcPr>
          <w:tcW w:w="2395" w:type="pct"/>
        </w:tcPr>
        <w:p w:rsidR="00EC379B" w:rsidRPr="009C1E9A" w:rsidRDefault="005034EE" w:rsidP="009C1E9A">
          <w:pPr>
            <w:pStyle w:val="Footer"/>
            <w:tabs>
              <w:tab w:val="clear" w:pos="8640"/>
              <w:tab w:val="right" w:pos="9360"/>
            </w:tabs>
            <w:rPr>
              <w:rFonts w:ascii="Shruti" w:hAnsi="Shruti"/>
              <w:sz w:val="22"/>
            </w:rPr>
          </w:pPr>
          <w:r>
            <w:rPr>
              <w:rFonts w:ascii="Shruti" w:hAnsi="Shruti"/>
              <w:sz w:val="22"/>
            </w:rPr>
            <w:t>85R 31577</w:t>
          </w:r>
        </w:p>
      </w:tc>
      <w:tc>
        <w:tcPr>
          <w:tcW w:w="2453" w:type="pct"/>
        </w:tcPr>
        <w:p w:rsidR="00EC379B" w:rsidRDefault="005034EE" w:rsidP="009C1E9A">
          <w:pPr>
            <w:pStyle w:val="Footer"/>
            <w:tabs>
              <w:tab w:val="clear" w:pos="8640"/>
              <w:tab w:val="right" w:pos="9360"/>
            </w:tabs>
            <w:jc w:val="right"/>
          </w:pPr>
          <w:r>
            <w:fldChar w:fldCharType="begin"/>
          </w:r>
          <w:r>
            <w:instrText xml:space="preserve"> DOCPROPERTY  OTID  \* MERGEFORMAT </w:instrText>
          </w:r>
          <w:r>
            <w:fldChar w:fldCharType="separate"/>
          </w:r>
          <w:r>
            <w:t>17.137.232</w:t>
          </w:r>
          <w:r>
            <w:fldChar w:fldCharType="end"/>
          </w:r>
        </w:p>
      </w:tc>
    </w:tr>
    <w:tr w:rsidR="001D15EF" w:rsidTr="009C1E9A">
      <w:trPr>
        <w:cantSplit/>
      </w:trPr>
      <w:tc>
        <w:tcPr>
          <w:tcW w:w="0" w:type="pct"/>
        </w:tcPr>
        <w:p w:rsidR="00EC379B" w:rsidRDefault="005034EE" w:rsidP="009C1E9A">
          <w:pPr>
            <w:pStyle w:val="Footer"/>
            <w:tabs>
              <w:tab w:val="clear" w:pos="4320"/>
              <w:tab w:val="clear" w:pos="8640"/>
              <w:tab w:val="left" w:pos="2865"/>
            </w:tabs>
          </w:pPr>
        </w:p>
      </w:tc>
      <w:tc>
        <w:tcPr>
          <w:tcW w:w="2395" w:type="pct"/>
        </w:tcPr>
        <w:p w:rsidR="00EC379B" w:rsidRPr="009C1E9A" w:rsidRDefault="005034EE" w:rsidP="009C1E9A">
          <w:pPr>
            <w:pStyle w:val="Footer"/>
            <w:tabs>
              <w:tab w:val="clear" w:pos="4320"/>
              <w:tab w:val="clear" w:pos="8640"/>
              <w:tab w:val="left" w:pos="2865"/>
            </w:tabs>
            <w:rPr>
              <w:rFonts w:ascii="Shruti" w:hAnsi="Shruti"/>
              <w:sz w:val="22"/>
            </w:rPr>
          </w:pPr>
        </w:p>
      </w:tc>
      <w:tc>
        <w:tcPr>
          <w:tcW w:w="2453" w:type="pct"/>
        </w:tcPr>
        <w:p w:rsidR="00EC379B" w:rsidRDefault="005034EE" w:rsidP="006D504F">
          <w:pPr>
            <w:pStyle w:val="Footer"/>
            <w:rPr>
              <w:rStyle w:val="PageNumber"/>
            </w:rPr>
          </w:pPr>
        </w:p>
        <w:p w:rsidR="00EC379B" w:rsidRDefault="005034EE" w:rsidP="009C1E9A">
          <w:pPr>
            <w:pStyle w:val="Footer"/>
            <w:tabs>
              <w:tab w:val="clear" w:pos="8640"/>
              <w:tab w:val="right" w:pos="9360"/>
            </w:tabs>
            <w:jc w:val="right"/>
          </w:pPr>
        </w:p>
      </w:tc>
    </w:tr>
    <w:tr w:rsidR="001D15EF" w:rsidTr="009C1E9A">
      <w:trPr>
        <w:cantSplit/>
        <w:trHeight w:val="323"/>
      </w:trPr>
      <w:tc>
        <w:tcPr>
          <w:tcW w:w="0" w:type="pct"/>
          <w:gridSpan w:val="3"/>
        </w:tcPr>
        <w:p w:rsidR="00EC379B" w:rsidRDefault="005034E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5034EE" w:rsidP="009C1E9A">
          <w:pPr>
            <w:pStyle w:val="Footer"/>
            <w:tabs>
              <w:tab w:val="clear" w:pos="8640"/>
              <w:tab w:val="right" w:pos="9360"/>
            </w:tabs>
            <w:jc w:val="center"/>
          </w:pPr>
        </w:p>
      </w:tc>
    </w:tr>
  </w:tbl>
  <w:p w:rsidR="00EC379B" w:rsidRPr="00FF6F72" w:rsidRDefault="005034EE"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5034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5034EE">
      <w:r>
        <w:separator/>
      </w:r>
    </w:p>
  </w:footnote>
  <w:footnote w:type="continuationSeparator" w:id="0">
    <w:p w:rsidR="00000000" w:rsidRDefault="00503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5034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5034E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79B" w:rsidRDefault="005034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EF"/>
    <w:rsid w:val="001D15EF"/>
    <w:rsid w:val="00503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87998"/>
    <w:rPr>
      <w:sz w:val="16"/>
      <w:szCs w:val="16"/>
    </w:rPr>
  </w:style>
  <w:style w:type="paragraph" w:styleId="CommentText">
    <w:name w:val="annotation text"/>
    <w:basedOn w:val="Normal"/>
    <w:link w:val="CommentTextChar"/>
    <w:rsid w:val="00487998"/>
    <w:rPr>
      <w:sz w:val="20"/>
      <w:szCs w:val="20"/>
    </w:rPr>
  </w:style>
  <w:style w:type="character" w:customStyle="1" w:styleId="CommentTextChar">
    <w:name w:val="Comment Text Char"/>
    <w:basedOn w:val="DefaultParagraphFont"/>
    <w:link w:val="CommentText"/>
    <w:rsid w:val="00487998"/>
  </w:style>
  <w:style w:type="paragraph" w:styleId="CommentSubject">
    <w:name w:val="annotation subject"/>
    <w:basedOn w:val="CommentText"/>
    <w:next w:val="CommentText"/>
    <w:link w:val="CommentSubjectChar"/>
    <w:rsid w:val="00487998"/>
    <w:rPr>
      <w:b/>
      <w:bCs/>
    </w:rPr>
  </w:style>
  <w:style w:type="character" w:customStyle="1" w:styleId="CommentSubjectChar">
    <w:name w:val="Comment Subject Char"/>
    <w:basedOn w:val="CommentTextChar"/>
    <w:link w:val="CommentSubject"/>
    <w:rsid w:val="00487998"/>
    <w:rPr>
      <w:b/>
      <w:bCs/>
    </w:rPr>
  </w:style>
  <w:style w:type="character" w:styleId="Hyperlink">
    <w:name w:val="Hyperlink"/>
    <w:basedOn w:val="DefaultParagraphFont"/>
    <w:rsid w:val="004879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87998"/>
    <w:rPr>
      <w:sz w:val="16"/>
      <w:szCs w:val="16"/>
    </w:rPr>
  </w:style>
  <w:style w:type="paragraph" w:styleId="CommentText">
    <w:name w:val="annotation text"/>
    <w:basedOn w:val="Normal"/>
    <w:link w:val="CommentTextChar"/>
    <w:rsid w:val="00487998"/>
    <w:rPr>
      <w:sz w:val="20"/>
      <w:szCs w:val="20"/>
    </w:rPr>
  </w:style>
  <w:style w:type="character" w:customStyle="1" w:styleId="CommentTextChar">
    <w:name w:val="Comment Text Char"/>
    <w:basedOn w:val="DefaultParagraphFont"/>
    <w:link w:val="CommentText"/>
    <w:rsid w:val="00487998"/>
  </w:style>
  <w:style w:type="paragraph" w:styleId="CommentSubject">
    <w:name w:val="annotation subject"/>
    <w:basedOn w:val="CommentText"/>
    <w:next w:val="CommentText"/>
    <w:link w:val="CommentSubjectChar"/>
    <w:rsid w:val="00487998"/>
    <w:rPr>
      <w:b/>
      <w:bCs/>
    </w:rPr>
  </w:style>
  <w:style w:type="character" w:customStyle="1" w:styleId="CommentSubjectChar">
    <w:name w:val="Comment Subject Char"/>
    <w:basedOn w:val="CommentTextChar"/>
    <w:link w:val="CommentSubject"/>
    <w:rsid w:val="00487998"/>
    <w:rPr>
      <w:b/>
      <w:bCs/>
    </w:rPr>
  </w:style>
  <w:style w:type="character" w:styleId="Hyperlink">
    <w:name w:val="Hyperlink"/>
    <w:basedOn w:val="DefaultParagraphFont"/>
    <w:rsid w:val="004879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1567</Characters>
  <Application>Microsoft Office Word</Application>
  <DocSecurity>4</DocSecurity>
  <Lines>46</Lines>
  <Paragraphs>15</Paragraphs>
  <ScaleCrop>false</ScaleCrop>
  <HeadingPairs>
    <vt:vector size="2" baseType="variant">
      <vt:variant>
        <vt:lpstr>Title</vt:lpstr>
      </vt:variant>
      <vt:variant>
        <vt:i4>1</vt:i4>
      </vt:variant>
    </vt:vector>
  </HeadingPairs>
  <TitlesOfParts>
    <vt:vector size="1" baseType="lpstr">
      <vt:lpstr>BA - SB00399 (Committee Report (Unamended))</vt:lpstr>
    </vt:vector>
  </TitlesOfParts>
  <Company>State of Texas</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31577</dc:subject>
  <dc:creator>State of Texas</dc:creator>
  <dc:description>SB 399 by Kolkhorst-(H)Transportation</dc:description>
  <cp:lastModifiedBy>Alexander McMillan</cp:lastModifiedBy>
  <cp:revision>2</cp:revision>
  <cp:lastPrinted>2017-05-17T16:20:00Z</cp:lastPrinted>
  <dcterms:created xsi:type="dcterms:W3CDTF">2017-05-18T23:45:00Z</dcterms:created>
  <dcterms:modified xsi:type="dcterms:W3CDTF">2017-05-18T23:45:00Z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17.137.232</vt:lpwstr>
  </property>
</Properties>
</file>