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1B" w:rsidRDefault="00F3471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C87844FEDFF443DB35CBEB0DD698AE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F3471B" w:rsidRPr="00585C31" w:rsidRDefault="00F3471B" w:rsidP="000F1DF9">
      <w:pPr>
        <w:spacing w:after="0" w:line="240" w:lineRule="auto"/>
        <w:rPr>
          <w:rFonts w:cs="Times New Roman"/>
          <w:szCs w:val="24"/>
        </w:rPr>
      </w:pPr>
    </w:p>
    <w:p w:rsidR="00F3471B" w:rsidRPr="00585C31" w:rsidRDefault="00F3471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3471B" w:rsidTr="000F1DF9">
        <w:tc>
          <w:tcPr>
            <w:tcW w:w="2718" w:type="dxa"/>
          </w:tcPr>
          <w:p w:rsidR="00F3471B" w:rsidRPr="005C2A78" w:rsidRDefault="00F3471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AA5F69868754D36892BDE06063856E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F3471B" w:rsidRPr="00FF6471" w:rsidRDefault="00F3471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6CC00060A9247CDA2053F5521A748D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399</w:t>
                </w:r>
              </w:sdtContent>
            </w:sdt>
          </w:p>
        </w:tc>
      </w:tr>
      <w:tr w:rsidR="00F3471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0CA7040F6D54AAB8847FBC8CFAD07C8"/>
            </w:placeholder>
          </w:sdtPr>
          <w:sdtContent>
            <w:tc>
              <w:tcPr>
                <w:tcW w:w="2718" w:type="dxa"/>
              </w:tcPr>
              <w:p w:rsidR="00F3471B" w:rsidRPr="000F1DF9" w:rsidRDefault="00F3471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85R3139 JAM-D</w:t>
                </w:r>
              </w:p>
            </w:tc>
          </w:sdtContent>
        </w:sdt>
        <w:tc>
          <w:tcPr>
            <w:tcW w:w="6858" w:type="dxa"/>
          </w:tcPr>
          <w:p w:rsidR="00F3471B" w:rsidRPr="005C2A78" w:rsidRDefault="00F3471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F1B7681320F645779A3BA2917D8EC27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8A9445033FEE437F8EF058F7FB8F596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Kolkhorst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CF5A4791AD8488B8F2D632156AB5BE1"/>
                </w:placeholder>
                <w:showingPlcHdr/>
              </w:sdtPr>
              <w:sdtContent/>
            </w:sdt>
          </w:p>
        </w:tc>
      </w:tr>
      <w:tr w:rsidR="00F3471B" w:rsidTr="000F1DF9">
        <w:tc>
          <w:tcPr>
            <w:tcW w:w="2718" w:type="dxa"/>
          </w:tcPr>
          <w:p w:rsidR="00F3471B" w:rsidRPr="00BC7495" w:rsidRDefault="00F347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097F8AF102345CABD90ACFB34607A06"/>
            </w:placeholder>
          </w:sdtPr>
          <w:sdtContent>
            <w:tc>
              <w:tcPr>
                <w:tcW w:w="6858" w:type="dxa"/>
              </w:tcPr>
              <w:p w:rsidR="00F3471B" w:rsidRPr="00FF6471" w:rsidRDefault="00F347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F3471B" w:rsidTr="000F1DF9">
        <w:tc>
          <w:tcPr>
            <w:tcW w:w="2718" w:type="dxa"/>
          </w:tcPr>
          <w:p w:rsidR="00F3471B" w:rsidRPr="00BC7495" w:rsidRDefault="00F347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1A8E481DAC7A4629A8DEF931869EB35C"/>
            </w:placeholder>
            <w:date w:fullDate="2017-04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F3471B" w:rsidRPr="00FF6471" w:rsidRDefault="00F347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4/13/2017</w:t>
                </w:r>
              </w:p>
            </w:tc>
          </w:sdtContent>
        </w:sdt>
      </w:tr>
      <w:tr w:rsidR="00F3471B" w:rsidTr="000F1DF9">
        <w:tc>
          <w:tcPr>
            <w:tcW w:w="2718" w:type="dxa"/>
          </w:tcPr>
          <w:p w:rsidR="00F3471B" w:rsidRPr="00BC7495" w:rsidRDefault="00F347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AE30FE02E5045D485E19A250371CEA3"/>
            </w:placeholder>
          </w:sdtPr>
          <w:sdtContent>
            <w:tc>
              <w:tcPr>
                <w:tcW w:w="6858" w:type="dxa"/>
              </w:tcPr>
              <w:p w:rsidR="00F3471B" w:rsidRPr="00FF6471" w:rsidRDefault="00F347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F3471B" w:rsidRPr="00FF6471" w:rsidRDefault="00F3471B" w:rsidP="000F1DF9">
      <w:pPr>
        <w:spacing w:after="0" w:line="240" w:lineRule="auto"/>
        <w:rPr>
          <w:rFonts w:cs="Times New Roman"/>
          <w:szCs w:val="24"/>
        </w:rPr>
      </w:pPr>
    </w:p>
    <w:p w:rsidR="00F3471B" w:rsidRPr="00FF6471" w:rsidRDefault="00F3471B" w:rsidP="000F1DF9">
      <w:pPr>
        <w:spacing w:after="0" w:line="240" w:lineRule="auto"/>
        <w:rPr>
          <w:rFonts w:cs="Times New Roman"/>
          <w:szCs w:val="24"/>
        </w:rPr>
      </w:pPr>
    </w:p>
    <w:p w:rsidR="00F3471B" w:rsidRPr="00FF6471" w:rsidRDefault="00F3471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0E71BB67FE34BD3AB2099406EDD666B"/>
        </w:placeholder>
      </w:sdtPr>
      <w:sdtContent>
        <w:p w:rsidR="00F3471B" w:rsidRDefault="00F3471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0100B5FCD674610AC5E048118AC5890"/>
        </w:placeholder>
      </w:sdtPr>
      <w:sdtContent>
        <w:p w:rsidR="00F3471B" w:rsidRDefault="00F3471B" w:rsidP="00F3471B">
          <w:pPr>
            <w:pStyle w:val="NormalWeb"/>
            <w:spacing w:before="0" w:beforeAutospacing="0" w:after="0" w:afterAutospacing="0"/>
            <w:jc w:val="both"/>
            <w:divId w:val="36901721"/>
            <w:rPr>
              <w:rFonts w:eastAsia="Times New Roman"/>
              <w:bCs/>
            </w:rPr>
          </w:pPr>
        </w:p>
        <w:p w:rsidR="00F3471B" w:rsidRDefault="00F3471B" w:rsidP="00F3471B">
          <w:pPr>
            <w:pStyle w:val="NormalWeb"/>
            <w:spacing w:before="0" w:beforeAutospacing="0" w:after="0" w:afterAutospacing="0"/>
            <w:jc w:val="both"/>
            <w:divId w:val="36901721"/>
            <w:rPr>
              <w:color w:val="000000"/>
            </w:rPr>
          </w:pPr>
          <w:r w:rsidRPr="00314BE1">
            <w:rPr>
              <w:color w:val="000000"/>
            </w:rPr>
            <w:t xml:space="preserve">Currently, </w:t>
          </w:r>
          <w:r>
            <w:rPr>
              <w:color w:val="000000"/>
            </w:rPr>
            <w:t>the Texas Department of Transportation</w:t>
          </w:r>
          <w:r w:rsidRPr="00314BE1">
            <w:rPr>
              <w:color w:val="000000"/>
            </w:rPr>
            <w:t xml:space="preserve"> is prohibited from converting any part of the state highway system into a toll project, unless they meet a statutory exception. One of those exceptions allows a non-tolled highway segment to be converted into a toll project so long as the segment is reconstructed so that the number of non-tolled lanes are greater than or equal to the number of non-tolled lanes before the conversion process. Interested parties contend that some tolling entities use frontage lanes to satisfy the requirement that the number of non-tolled lanes remains the same. </w:t>
          </w:r>
        </w:p>
        <w:p w:rsidR="00F3471B" w:rsidRPr="00314BE1" w:rsidRDefault="00F3471B" w:rsidP="00F3471B">
          <w:pPr>
            <w:pStyle w:val="NormalWeb"/>
            <w:spacing w:before="0" w:beforeAutospacing="0" w:after="0" w:afterAutospacing="0"/>
            <w:jc w:val="both"/>
            <w:divId w:val="36901721"/>
            <w:rPr>
              <w:color w:val="000000"/>
            </w:rPr>
          </w:pPr>
        </w:p>
        <w:p w:rsidR="00F3471B" w:rsidRPr="00314BE1" w:rsidRDefault="00F3471B" w:rsidP="00F3471B">
          <w:pPr>
            <w:pStyle w:val="NormalWeb"/>
            <w:spacing w:before="0" w:beforeAutospacing="0" w:after="0" w:afterAutospacing="0"/>
            <w:jc w:val="both"/>
            <w:divId w:val="36901721"/>
            <w:rPr>
              <w:rFonts w:ascii="Courier New" w:hAnsi="Courier New" w:cs="Courier New"/>
              <w:color w:val="000000"/>
            </w:rPr>
          </w:pPr>
          <w:r w:rsidRPr="00314BE1">
            <w:rPr>
              <w:color w:val="000000"/>
            </w:rPr>
            <w:t>S.B. 399 clears up an unintended loophole abused by some tolling entities by clarifying that frontage lanes do not satisfy the requirement that the number of non-tolled lanes is equal</w:t>
          </w:r>
          <w:r>
            <w:rPr>
              <w:color w:val="000000"/>
            </w:rPr>
            <w:t xml:space="preserve"> to or greater than</w:t>
          </w:r>
          <w:r w:rsidRPr="00314BE1">
            <w:rPr>
              <w:color w:val="000000"/>
            </w:rPr>
            <w:t xml:space="preserve"> the number in existence before the toll was constructed.</w:t>
          </w:r>
          <w:r w:rsidRPr="00314BE1">
            <w:rPr>
              <w:rFonts w:ascii="Courier New" w:hAnsi="Courier New" w:cs="Courier New"/>
              <w:color w:val="000000"/>
            </w:rPr>
            <w:t xml:space="preserve"> </w:t>
          </w:r>
        </w:p>
        <w:p w:rsidR="00F3471B" w:rsidRPr="00D70925" w:rsidRDefault="00F3471B" w:rsidP="00F3471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F3471B" w:rsidRDefault="00F347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399 </w:t>
      </w:r>
      <w:bookmarkStart w:id="1" w:name="AmendsCurrentLaw"/>
      <w:bookmarkEnd w:id="1"/>
      <w:r>
        <w:rPr>
          <w:rFonts w:cs="Times New Roman"/>
          <w:szCs w:val="24"/>
        </w:rPr>
        <w:t>amends current law relating to nontolled lanes on a highway that has been converted from a nontolled highway to a toll project.</w:t>
      </w:r>
    </w:p>
    <w:p w:rsidR="00F3471B" w:rsidRPr="00E317E9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3471B" w:rsidRPr="005C2A78" w:rsidRDefault="00F347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lock w:val="sdtContentLocked"/>
          <w:placeholder>
            <w:docPart w:val="B5BD40B3EBBF49FE850883E611A1E65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F3471B" w:rsidRPr="006529C4" w:rsidRDefault="00F347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3471B" w:rsidRPr="006529C4" w:rsidRDefault="00F3471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F3471B" w:rsidRPr="006529C4" w:rsidRDefault="00F347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3471B" w:rsidRPr="005C2A78" w:rsidRDefault="00F3471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lock w:val="sdtContentLocked"/>
          <w:placeholder>
            <w:docPart w:val="E7EFD30193C749C5B44B1AC787EC4B5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F3471B" w:rsidRPr="005C2A78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3471B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228.201, Transportation Code, by adding Subsection (c), as follows: </w:t>
      </w:r>
    </w:p>
    <w:p w:rsidR="00F3471B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3471B" w:rsidRPr="005C2A78" w:rsidRDefault="00F3471B" w:rsidP="00E317E9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Authorizes the Texas Department of Transportation (TxDOT), in determining the number of nontolled lanes required to comply with Subsection (a)(3) (relating to prohibiting TxDOT from taking certain actions relating to a nontolled state highway or a segment of a nontolled state highway unless the highway or segment is reconstructed in a certain manner), to consider only a general-purpose lane that is part of the highway. Prohibits TxDOT from including a lane of a frontage road. </w:t>
      </w:r>
    </w:p>
    <w:p w:rsidR="00F3471B" w:rsidRPr="005C2A78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3471B" w:rsidRPr="005C2A78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F3471B" w:rsidRPr="005C2A78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F3471B" w:rsidRPr="005C2A78" w:rsidRDefault="00F347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F3471B" w:rsidRPr="006529C4" w:rsidRDefault="00F347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F3471B" w:rsidRPr="006529C4" w:rsidRDefault="00F3471B" w:rsidP="00774EC7">
      <w:pPr>
        <w:spacing w:after="0" w:line="240" w:lineRule="auto"/>
        <w:jc w:val="both"/>
      </w:pPr>
    </w:p>
    <w:p w:rsidR="00F3471B" w:rsidRPr="004E780E" w:rsidRDefault="00F3471B" w:rsidP="004E780E"/>
    <w:sectPr w:rsidR="00F3471B" w:rsidRPr="004E780E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F7" w:rsidRDefault="001D75F7" w:rsidP="000F1DF9">
      <w:pPr>
        <w:spacing w:after="0" w:line="240" w:lineRule="auto"/>
      </w:pPr>
      <w:r>
        <w:separator/>
      </w:r>
    </w:p>
  </w:endnote>
  <w:endnote w:type="continuationSeparator" w:id="0">
    <w:p w:rsidR="001D75F7" w:rsidRDefault="001D75F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1D75F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F3471B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F3471B">
                <w:rPr>
                  <w:sz w:val="20"/>
                  <w:szCs w:val="20"/>
                </w:rPr>
                <w:t>S.B. 399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F3471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1D75F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F3471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F3471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F7" w:rsidRDefault="001D75F7" w:rsidP="000F1DF9">
      <w:pPr>
        <w:spacing w:after="0" w:line="240" w:lineRule="auto"/>
      </w:pPr>
      <w:r>
        <w:separator/>
      </w:r>
    </w:p>
  </w:footnote>
  <w:footnote w:type="continuationSeparator" w:id="0">
    <w:p w:rsidR="001D75F7" w:rsidRDefault="001D75F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D75F7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3471B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7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47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0F5D23" w:rsidP="000F5D23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C87844FEDFF443DB35CBEB0DD69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BE94-AF94-4E9D-B3B6-FD1DB5FD4EFB}"/>
      </w:docPartPr>
      <w:docPartBody>
        <w:p w:rsidR="00000000" w:rsidRDefault="00256629"/>
      </w:docPartBody>
    </w:docPart>
    <w:docPart>
      <w:docPartPr>
        <w:name w:val="DAA5F69868754D36892BDE060638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0020-F1CA-4519-8F9B-E4EFF079EC97}"/>
      </w:docPartPr>
      <w:docPartBody>
        <w:p w:rsidR="00000000" w:rsidRDefault="00256629"/>
      </w:docPartBody>
    </w:docPart>
    <w:docPart>
      <w:docPartPr>
        <w:name w:val="56CC00060A9247CDA2053F5521A7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9EFEF-2836-49BC-B52E-F455CAFD279C}"/>
      </w:docPartPr>
      <w:docPartBody>
        <w:p w:rsidR="00000000" w:rsidRDefault="00256629"/>
      </w:docPartBody>
    </w:docPart>
    <w:docPart>
      <w:docPartPr>
        <w:name w:val="90CA7040F6D54AAB8847FBC8CFAD0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18E3-8B3E-4A1B-9442-121E9CF5F2B6}"/>
      </w:docPartPr>
      <w:docPartBody>
        <w:p w:rsidR="00000000" w:rsidRDefault="00256629"/>
      </w:docPartBody>
    </w:docPart>
    <w:docPart>
      <w:docPartPr>
        <w:name w:val="F1B7681320F645779A3BA2917D8E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3097-DE29-4D54-BBA5-EB0F68C36117}"/>
      </w:docPartPr>
      <w:docPartBody>
        <w:p w:rsidR="00000000" w:rsidRDefault="00256629"/>
      </w:docPartBody>
    </w:docPart>
    <w:docPart>
      <w:docPartPr>
        <w:name w:val="8A9445033FEE437F8EF058F7FB8F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9DD4-A806-42EE-95AD-BD1F92FE7431}"/>
      </w:docPartPr>
      <w:docPartBody>
        <w:p w:rsidR="00000000" w:rsidRDefault="00256629"/>
      </w:docPartBody>
    </w:docPart>
    <w:docPart>
      <w:docPartPr>
        <w:name w:val="DCF5A4791AD8488B8F2D632156AB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EBE7-9310-400B-B19A-211B57358016}"/>
      </w:docPartPr>
      <w:docPartBody>
        <w:p w:rsidR="00000000" w:rsidRDefault="00256629"/>
      </w:docPartBody>
    </w:docPart>
    <w:docPart>
      <w:docPartPr>
        <w:name w:val="3097F8AF102345CABD90ACFB3460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AE43-CCDA-41F8-8AE2-EDFE5247427F}"/>
      </w:docPartPr>
      <w:docPartBody>
        <w:p w:rsidR="00000000" w:rsidRDefault="00256629"/>
      </w:docPartBody>
    </w:docPart>
    <w:docPart>
      <w:docPartPr>
        <w:name w:val="1A8E481DAC7A4629A8DEF931869E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59E6-1917-4D20-8028-052DEE95AC42}"/>
      </w:docPartPr>
      <w:docPartBody>
        <w:p w:rsidR="00000000" w:rsidRDefault="000F5D23" w:rsidP="000F5D23">
          <w:pPr>
            <w:pStyle w:val="1A8E481DAC7A4629A8DEF931869EB35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AE30FE02E5045D485E19A250371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F1B4-1488-4811-AE49-DD9A8949C7B1}"/>
      </w:docPartPr>
      <w:docPartBody>
        <w:p w:rsidR="00000000" w:rsidRDefault="00256629"/>
      </w:docPartBody>
    </w:docPart>
    <w:docPart>
      <w:docPartPr>
        <w:name w:val="80E71BB67FE34BD3AB2099406EDD6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75BB-49B2-478B-9BB8-CDC3130851B6}"/>
      </w:docPartPr>
      <w:docPartBody>
        <w:p w:rsidR="00000000" w:rsidRDefault="00256629"/>
      </w:docPartBody>
    </w:docPart>
    <w:docPart>
      <w:docPartPr>
        <w:name w:val="B0100B5FCD674610AC5E048118AC5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3096-1C61-4337-B1B2-9B28E1C67C5B}"/>
      </w:docPartPr>
      <w:docPartBody>
        <w:p w:rsidR="00000000" w:rsidRDefault="000F5D23" w:rsidP="000F5D23">
          <w:pPr>
            <w:pStyle w:val="B0100B5FCD674610AC5E048118AC589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5BD40B3EBBF49FE850883E611A1E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81AE4-7688-4A63-8270-62FDB3416391}"/>
      </w:docPartPr>
      <w:docPartBody>
        <w:p w:rsidR="00000000" w:rsidRDefault="00256629"/>
      </w:docPartBody>
    </w:docPart>
    <w:docPart>
      <w:docPartPr>
        <w:name w:val="E7EFD30193C749C5B44B1AC787EC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D849-3668-4E6A-8B7E-3A2636DD2EBA}"/>
      </w:docPartPr>
      <w:docPartBody>
        <w:p w:rsidR="00000000" w:rsidRDefault="0025662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F5D23"/>
    <w:rsid w:val="0011267B"/>
    <w:rsid w:val="001135F3"/>
    <w:rsid w:val="001C5F26"/>
    <w:rsid w:val="00256629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D2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F5D2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F5D2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F5D2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A8E481DAC7A4629A8DEF931869EB35C">
    <w:name w:val="1A8E481DAC7A4629A8DEF931869EB35C"/>
    <w:rsid w:val="000F5D23"/>
  </w:style>
  <w:style w:type="paragraph" w:customStyle="1" w:styleId="B0100B5FCD674610AC5E048118AC5890">
    <w:name w:val="B0100B5FCD674610AC5E048118AC5890"/>
    <w:rsid w:val="000F5D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D2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0F5D23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0F5D23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0F5D2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A8E481DAC7A4629A8DEF931869EB35C">
    <w:name w:val="1A8E481DAC7A4629A8DEF931869EB35C"/>
    <w:rsid w:val="000F5D23"/>
  </w:style>
  <w:style w:type="paragraph" w:customStyle="1" w:styleId="B0100B5FCD674610AC5E048118AC5890">
    <w:name w:val="B0100B5FCD674610AC5E048118AC5890"/>
    <w:rsid w:val="000F5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FBA5E4E-DD8B-4B34-990C-CCC5B415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307</Words>
  <Characters>1752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2017-04-13T16:38:00Z</cp:lastPrinted>
  <dcterms:created xsi:type="dcterms:W3CDTF">2015-05-29T14:24:00Z</dcterms:created>
  <dcterms:modified xsi:type="dcterms:W3CDTF">2017-04-13T16:38:00Z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