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1A" w:rsidRDefault="008060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C82908DFB486EA7A9DBCAC5DC2AD0"/>
          </w:placeholder>
        </w:sdtPr>
        <w:sdtContent>
          <w:r w:rsidRPr="005C2A78">
            <w:rPr>
              <w:rFonts w:cs="Times New Roman"/>
              <w:b/>
              <w:szCs w:val="24"/>
              <w:u w:val="single"/>
            </w:rPr>
            <w:t>BILL ANALYSIS</w:t>
          </w:r>
        </w:sdtContent>
      </w:sdt>
    </w:p>
    <w:p w:rsidR="0080601A" w:rsidRPr="00585C31" w:rsidRDefault="0080601A" w:rsidP="000F1DF9">
      <w:pPr>
        <w:spacing w:after="0" w:line="240" w:lineRule="auto"/>
        <w:rPr>
          <w:rFonts w:cs="Times New Roman"/>
          <w:szCs w:val="24"/>
        </w:rPr>
      </w:pPr>
    </w:p>
    <w:p w:rsidR="0080601A" w:rsidRPr="00585C31" w:rsidRDefault="008060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01A" w:rsidTr="000F1DF9">
        <w:tc>
          <w:tcPr>
            <w:tcW w:w="2718" w:type="dxa"/>
          </w:tcPr>
          <w:p w:rsidR="0080601A" w:rsidRPr="005C2A78" w:rsidRDefault="0080601A" w:rsidP="006D756B">
            <w:pPr>
              <w:rPr>
                <w:rFonts w:cs="Times New Roman"/>
                <w:szCs w:val="24"/>
              </w:rPr>
            </w:pPr>
            <w:sdt>
              <w:sdtPr>
                <w:rPr>
                  <w:rFonts w:cs="Times New Roman"/>
                  <w:szCs w:val="24"/>
                </w:rPr>
                <w:alias w:val="Agency Title"/>
                <w:tag w:val="AgencyTitleContentControl"/>
                <w:id w:val="1920747753"/>
                <w:lock w:val="sdtContentLocked"/>
                <w:placeholder>
                  <w:docPart w:val="80F7EE4A06664F50832D3E06A5EFA246"/>
                </w:placeholder>
              </w:sdtPr>
              <w:sdtEndPr>
                <w:rPr>
                  <w:rFonts w:cstheme="minorBidi"/>
                  <w:szCs w:val="22"/>
                </w:rPr>
              </w:sdtEndPr>
              <w:sdtContent>
                <w:r>
                  <w:rPr>
                    <w:rFonts w:cs="Times New Roman"/>
                    <w:szCs w:val="24"/>
                  </w:rPr>
                  <w:t>Senate Research Center</w:t>
                </w:r>
              </w:sdtContent>
            </w:sdt>
          </w:p>
        </w:tc>
        <w:tc>
          <w:tcPr>
            <w:tcW w:w="6858" w:type="dxa"/>
          </w:tcPr>
          <w:p w:rsidR="0080601A" w:rsidRPr="00FF6471" w:rsidRDefault="0080601A" w:rsidP="000F1DF9">
            <w:pPr>
              <w:jc w:val="right"/>
              <w:rPr>
                <w:rFonts w:cs="Times New Roman"/>
                <w:szCs w:val="24"/>
              </w:rPr>
            </w:pPr>
            <w:sdt>
              <w:sdtPr>
                <w:rPr>
                  <w:rFonts w:cs="Times New Roman"/>
                  <w:szCs w:val="24"/>
                </w:rPr>
                <w:alias w:val="Bill Number"/>
                <w:tag w:val="BillNumberOne"/>
                <w:id w:val="-410784069"/>
                <w:lock w:val="sdtContentLocked"/>
                <w:placeholder>
                  <w:docPart w:val="9AA039405C76420A9195EF8672576851"/>
                </w:placeholder>
              </w:sdtPr>
              <w:sdtContent>
                <w:r>
                  <w:rPr>
                    <w:rFonts w:cs="Times New Roman"/>
                    <w:szCs w:val="24"/>
                  </w:rPr>
                  <w:t>C.S.S.B. 543</w:t>
                </w:r>
              </w:sdtContent>
            </w:sdt>
          </w:p>
        </w:tc>
      </w:tr>
      <w:tr w:rsidR="0080601A" w:rsidTr="000F1DF9">
        <w:sdt>
          <w:sdtPr>
            <w:rPr>
              <w:rFonts w:cs="Times New Roman"/>
              <w:szCs w:val="24"/>
            </w:rPr>
            <w:alias w:val="TLCNumber"/>
            <w:tag w:val="TLCNumber"/>
            <w:id w:val="-542600604"/>
            <w:lock w:val="sdtLocked"/>
            <w:placeholder>
              <w:docPart w:val="62480F6899FA465BA674C765C9152A43"/>
            </w:placeholder>
          </w:sdtPr>
          <w:sdtContent>
            <w:tc>
              <w:tcPr>
                <w:tcW w:w="2718" w:type="dxa"/>
              </w:tcPr>
              <w:p w:rsidR="0080601A" w:rsidRPr="000F1DF9" w:rsidRDefault="0080601A" w:rsidP="00C81DD6">
                <w:pPr>
                  <w:rPr>
                    <w:rFonts w:cs="Times New Roman"/>
                    <w:szCs w:val="24"/>
                  </w:rPr>
                </w:pPr>
                <w:r>
                  <w:rPr>
                    <w:rFonts w:cs="Times New Roman"/>
                    <w:szCs w:val="24"/>
                  </w:rPr>
                  <w:t>85R19378 KSD-D</w:t>
                </w:r>
              </w:p>
            </w:tc>
          </w:sdtContent>
        </w:sdt>
        <w:tc>
          <w:tcPr>
            <w:tcW w:w="6858" w:type="dxa"/>
          </w:tcPr>
          <w:p w:rsidR="0080601A" w:rsidRPr="005C2A78" w:rsidRDefault="0080601A" w:rsidP="006D756B">
            <w:pPr>
              <w:jc w:val="right"/>
              <w:rPr>
                <w:rFonts w:cs="Times New Roman"/>
                <w:szCs w:val="24"/>
              </w:rPr>
            </w:pPr>
            <w:sdt>
              <w:sdtPr>
                <w:rPr>
                  <w:rFonts w:cs="Times New Roman"/>
                  <w:szCs w:val="24"/>
                </w:rPr>
                <w:alias w:val="Author Label"/>
                <w:tag w:val="By"/>
                <w:id w:val="72399597"/>
                <w:lock w:val="sdtLocked"/>
                <w:placeholder>
                  <w:docPart w:val="49752C33F9104B9BBEE87171250B85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617AEF147748D09E8C771C3C685F7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7E2A5C9BD524DE3A5FD7A7A4FB02088"/>
                </w:placeholder>
                <w:showingPlcHdr/>
              </w:sdtPr>
              <w:sdtContent/>
            </w:sdt>
          </w:p>
        </w:tc>
      </w:tr>
      <w:tr w:rsidR="0080601A" w:rsidTr="000F1DF9">
        <w:tc>
          <w:tcPr>
            <w:tcW w:w="2718" w:type="dxa"/>
          </w:tcPr>
          <w:p w:rsidR="0080601A" w:rsidRPr="00BC7495" w:rsidRDefault="0080601A" w:rsidP="000F1DF9">
            <w:pPr>
              <w:rPr>
                <w:rFonts w:cs="Times New Roman"/>
                <w:szCs w:val="24"/>
              </w:rPr>
            </w:pPr>
          </w:p>
        </w:tc>
        <w:sdt>
          <w:sdtPr>
            <w:rPr>
              <w:rFonts w:cs="Times New Roman"/>
              <w:szCs w:val="24"/>
            </w:rPr>
            <w:alias w:val="Committee"/>
            <w:tag w:val="Committee"/>
            <w:id w:val="1914272295"/>
            <w:lock w:val="sdtContentLocked"/>
            <w:placeholder>
              <w:docPart w:val="B44E32F1428B4D7799DB1DA7E5997B4F"/>
            </w:placeholder>
          </w:sdtPr>
          <w:sdtContent>
            <w:tc>
              <w:tcPr>
                <w:tcW w:w="6858" w:type="dxa"/>
              </w:tcPr>
              <w:p w:rsidR="0080601A" w:rsidRPr="00FF6471" w:rsidRDefault="0080601A" w:rsidP="000F1DF9">
                <w:pPr>
                  <w:jc w:val="right"/>
                  <w:rPr>
                    <w:rFonts w:cs="Times New Roman"/>
                    <w:szCs w:val="24"/>
                  </w:rPr>
                </w:pPr>
                <w:r>
                  <w:rPr>
                    <w:rFonts w:cs="Times New Roman"/>
                    <w:szCs w:val="24"/>
                  </w:rPr>
                  <w:t>Higher Education</w:t>
                </w:r>
              </w:p>
            </w:tc>
          </w:sdtContent>
        </w:sdt>
      </w:tr>
      <w:tr w:rsidR="0080601A" w:rsidTr="000F1DF9">
        <w:tc>
          <w:tcPr>
            <w:tcW w:w="2718" w:type="dxa"/>
          </w:tcPr>
          <w:p w:rsidR="0080601A" w:rsidRPr="00BC7495" w:rsidRDefault="0080601A" w:rsidP="000F1DF9">
            <w:pPr>
              <w:rPr>
                <w:rFonts w:cs="Times New Roman"/>
                <w:szCs w:val="24"/>
              </w:rPr>
            </w:pPr>
          </w:p>
        </w:tc>
        <w:sdt>
          <w:sdtPr>
            <w:rPr>
              <w:rFonts w:cs="Times New Roman"/>
              <w:szCs w:val="24"/>
            </w:rPr>
            <w:alias w:val="Date"/>
            <w:tag w:val="DateContentControl"/>
            <w:id w:val="1178081906"/>
            <w:lock w:val="sdtLocked"/>
            <w:placeholder>
              <w:docPart w:val="5056DFC79A8D4D3AB320E2EDF0193632"/>
            </w:placeholder>
            <w:date w:fullDate="2017-03-28T00:00:00Z">
              <w:dateFormat w:val="M/d/yyyy"/>
              <w:lid w:val="en-US"/>
              <w:storeMappedDataAs w:val="dateTime"/>
              <w:calendar w:val="gregorian"/>
            </w:date>
          </w:sdtPr>
          <w:sdtContent>
            <w:tc>
              <w:tcPr>
                <w:tcW w:w="6858" w:type="dxa"/>
              </w:tcPr>
              <w:p w:rsidR="0080601A" w:rsidRPr="00FF6471" w:rsidRDefault="0080601A" w:rsidP="0080601A">
                <w:pPr>
                  <w:jc w:val="right"/>
                  <w:rPr>
                    <w:rFonts w:cs="Times New Roman"/>
                    <w:szCs w:val="24"/>
                  </w:rPr>
                </w:pPr>
                <w:r>
                  <w:rPr>
                    <w:rFonts w:cs="Times New Roman"/>
                    <w:szCs w:val="24"/>
                  </w:rPr>
                  <w:t>3/28/2017</w:t>
                </w:r>
              </w:p>
            </w:tc>
          </w:sdtContent>
        </w:sdt>
      </w:tr>
      <w:tr w:rsidR="0080601A" w:rsidTr="000F1DF9">
        <w:tc>
          <w:tcPr>
            <w:tcW w:w="2718" w:type="dxa"/>
          </w:tcPr>
          <w:p w:rsidR="0080601A" w:rsidRPr="00BC7495" w:rsidRDefault="0080601A" w:rsidP="000F1DF9">
            <w:pPr>
              <w:rPr>
                <w:rFonts w:cs="Times New Roman"/>
                <w:szCs w:val="24"/>
              </w:rPr>
            </w:pPr>
          </w:p>
        </w:tc>
        <w:sdt>
          <w:sdtPr>
            <w:rPr>
              <w:rFonts w:cs="Times New Roman"/>
              <w:szCs w:val="24"/>
            </w:rPr>
            <w:alias w:val="BA Version"/>
            <w:tag w:val="BAVersion"/>
            <w:id w:val="-1685590809"/>
            <w:lock w:val="sdtContentLocked"/>
            <w:placeholder>
              <w:docPart w:val="833C0B9868BB43E9B717438A6F25C480"/>
            </w:placeholder>
          </w:sdtPr>
          <w:sdtContent>
            <w:tc>
              <w:tcPr>
                <w:tcW w:w="6858" w:type="dxa"/>
              </w:tcPr>
              <w:p w:rsidR="0080601A" w:rsidRPr="00FF6471" w:rsidRDefault="0080601A" w:rsidP="000F1DF9">
                <w:pPr>
                  <w:jc w:val="right"/>
                  <w:rPr>
                    <w:rFonts w:cs="Times New Roman"/>
                    <w:szCs w:val="24"/>
                  </w:rPr>
                </w:pPr>
                <w:r>
                  <w:rPr>
                    <w:rFonts w:cs="Times New Roman"/>
                    <w:szCs w:val="24"/>
                  </w:rPr>
                  <w:t>Committee Report (Substituted)</w:t>
                </w:r>
              </w:p>
            </w:tc>
          </w:sdtContent>
        </w:sdt>
      </w:tr>
    </w:tbl>
    <w:p w:rsidR="0080601A" w:rsidRPr="00FF6471" w:rsidRDefault="0080601A" w:rsidP="000F1DF9">
      <w:pPr>
        <w:spacing w:after="0" w:line="240" w:lineRule="auto"/>
        <w:rPr>
          <w:rFonts w:cs="Times New Roman"/>
          <w:szCs w:val="24"/>
        </w:rPr>
      </w:pPr>
    </w:p>
    <w:p w:rsidR="0080601A" w:rsidRPr="00FF6471" w:rsidRDefault="0080601A" w:rsidP="000F1DF9">
      <w:pPr>
        <w:spacing w:after="0" w:line="240" w:lineRule="auto"/>
        <w:rPr>
          <w:rFonts w:cs="Times New Roman"/>
          <w:szCs w:val="24"/>
        </w:rPr>
      </w:pPr>
    </w:p>
    <w:p w:rsidR="0080601A" w:rsidRPr="00FF6471" w:rsidRDefault="008060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DFDFDC652F4ED784C8BD7539D3F5ED"/>
        </w:placeholder>
      </w:sdtPr>
      <w:sdtContent>
        <w:p w:rsidR="0080601A" w:rsidRDefault="008060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E95F89AAFC4F4B8E09A2483AB60E0E"/>
        </w:placeholder>
      </w:sdtPr>
      <w:sdtContent>
        <w:p w:rsidR="0080601A" w:rsidRDefault="0080601A" w:rsidP="007D27FA">
          <w:pPr>
            <w:pStyle w:val="NormalWeb"/>
            <w:spacing w:before="0" w:beforeAutospacing="0" w:after="0" w:afterAutospacing="0"/>
            <w:jc w:val="both"/>
            <w:divId w:val="1526863814"/>
            <w:rPr>
              <w:rFonts w:eastAsia="Times New Roman"/>
              <w:bCs/>
            </w:rPr>
          </w:pPr>
        </w:p>
        <w:p w:rsidR="0080601A" w:rsidRPr="00412916" w:rsidRDefault="0080601A" w:rsidP="007D27FA">
          <w:pPr>
            <w:pStyle w:val="NormalWeb"/>
            <w:spacing w:before="0" w:beforeAutospacing="0" w:after="0" w:afterAutospacing="0"/>
            <w:jc w:val="both"/>
            <w:divId w:val="1526863814"/>
          </w:pPr>
          <w:r w:rsidRPr="00412916">
            <w:t>With tuition continuing to rise and the burden of these costs on students and their families taking a toll, it is imperative that the legislature hold institutions accountable for their spending and ensure efficiency of administrative spending.</w:t>
          </w:r>
        </w:p>
        <w:p w:rsidR="0080601A" w:rsidRPr="00412916" w:rsidRDefault="0080601A" w:rsidP="007D27FA">
          <w:pPr>
            <w:pStyle w:val="NormalWeb"/>
            <w:spacing w:before="0" w:beforeAutospacing="0" w:after="0" w:afterAutospacing="0"/>
            <w:jc w:val="both"/>
            <w:divId w:val="1526863814"/>
          </w:pPr>
          <w:r w:rsidRPr="00412916">
            <w:t> </w:t>
          </w:r>
        </w:p>
        <w:p w:rsidR="0080601A" w:rsidRPr="00412916" w:rsidRDefault="0080601A" w:rsidP="007D27FA">
          <w:pPr>
            <w:pStyle w:val="NormalWeb"/>
            <w:spacing w:before="0" w:beforeAutospacing="0" w:after="0" w:afterAutospacing="0"/>
            <w:jc w:val="both"/>
            <w:divId w:val="1526863814"/>
          </w:pPr>
          <w:r w:rsidRPr="00412916">
            <w:t xml:space="preserve">S.B. 543 requires public institutions of higher education </w:t>
          </w:r>
          <w:r>
            <w:t xml:space="preserve">(IHEs) </w:t>
          </w:r>
          <w:r w:rsidRPr="00412916">
            <w:t xml:space="preserve">to meet targets on six of </w:t>
          </w:r>
          <w:r>
            <w:t>11</w:t>
          </w:r>
          <w:r w:rsidRPr="00412916">
            <w:t xml:space="preserve"> performance metrics before being able to consider an increased tuition. If </w:t>
          </w:r>
          <w:r>
            <w:t>IHEs</w:t>
          </w:r>
          <w:r w:rsidRPr="00412916">
            <w:t xml:space="preserve"> meet or exceed the performance metrics, proposed tuition increases will be limited to three percent above the rate of inflation. If an </w:t>
          </w:r>
          <w:r>
            <w:t>IHE</w:t>
          </w:r>
          <w:r w:rsidRPr="00412916">
            <w:t xml:space="preserve"> does not meet six of the </w:t>
          </w:r>
          <w:r>
            <w:t>11</w:t>
          </w:r>
          <w:r w:rsidRPr="00412916">
            <w:t xml:space="preserve"> targets, the </w:t>
          </w:r>
          <w:r>
            <w:t>IHE's</w:t>
          </w:r>
          <w:r w:rsidRPr="00412916">
            <w:t xml:space="preserve"> tuition increase is limited to inflation. Of those targets, the administrative spending metric is a required metric schools must meet. The bill also puts into statute the process by which performance metric targets are recommended, reviewed, and established, as well as an emergency exception.</w:t>
          </w:r>
        </w:p>
        <w:p w:rsidR="0080601A" w:rsidRPr="00412916" w:rsidRDefault="0080601A" w:rsidP="007D27FA">
          <w:pPr>
            <w:pStyle w:val="NormalWeb"/>
            <w:spacing w:before="0" w:beforeAutospacing="0" w:after="0" w:afterAutospacing="0"/>
            <w:jc w:val="both"/>
            <w:divId w:val="1526863814"/>
          </w:pPr>
          <w:r w:rsidRPr="00412916">
            <w:t> </w:t>
          </w:r>
        </w:p>
        <w:p w:rsidR="0080601A" w:rsidRPr="00412916" w:rsidRDefault="0080601A" w:rsidP="007D27FA">
          <w:pPr>
            <w:pStyle w:val="NormalWeb"/>
            <w:spacing w:before="0" w:beforeAutospacing="0" w:after="0" w:afterAutospacing="0"/>
            <w:jc w:val="both"/>
            <w:divId w:val="1526863814"/>
          </w:pPr>
          <w:r w:rsidRPr="00412916">
            <w:t>S.B. 543 also temporarily limits tuition increases for the 2018-19 and 2019-20 academic years to no more than one percent per year. (Original Author's / Sponsor's Statement of Intent)</w:t>
          </w:r>
        </w:p>
        <w:p w:rsidR="0080601A" w:rsidRPr="00D70925" w:rsidRDefault="0080601A" w:rsidP="007D27FA">
          <w:pPr>
            <w:spacing w:after="0" w:line="240" w:lineRule="auto"/>
            <w:jc w:val="both"/>
            <w:rPr>
              <w:rFonts w:eastAsia="Times New Roman" w:cs="Times New Roman"/>
              <w:bCs/>
              <w:szCs w:val="24"/>
            </w:rPr>
          </w:pPr>
        </w:p>
      </w:sdtContent>
    </w:sdt>
    <w:p w:rsidR="0080601A" w:rsidRDefault="008060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543 </w:t>
      </w:r>
      <w:bookmarkStart w:id="1" w:name="AmendsCurrentLaw"/>
      <w:bookmarkEnd w:id="1"/>
      <w:r>
        <w:rPr>
          <w:rFonts w:cs="Times New Roman"/>
          <w:szCs w:val="24"/>
        </w:rPr>
        <w:t>amends current law relating to performance-based tuition limitations for certain public institutions of higher education and a temporary tuition limitation for those institutions.</w:t>
      </w:r>
    </w:p>
    <w:p w:rsidR="0080601A" w:rsidRPr="00137412" w:rsidRDefault="0080601A" w:rsidP="000F1DF9">
      <w:pPr>
        <w:spacing w:after="0" w:line="240" w:lineRule="auto"/>
        <w:jc w:val="both"/>
        <w:rPr>
          <w:rFonts w:eastAsia="Times New Roman" w:cs="Times New Roman"/>
          <w:szCs w:val="24"/>
        </w:rPr>
      </w:pPr>
    </w:p>
    <w:p w:rsidR="0080601A" w:rsidRPr="005C2A78" w:rsidRDefault="008060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BE2748F5B24A5EBE883AAC652E0096"/>
          </w:placeholder>
        </w:sdtPr>
        <w:sdtContent>
          <w:r>
            <w:rPr>
              <w:rFonts w:eastAsia="Times New Roman" w:cs="Times New Roman"/>
              <w:b/>
              <w:szCs w:val="24"/>
              <w:u w:val="single"/>
            </w:rPr>
            <w:t>RULEMAKING AUTHORITY</w:t>
          </w:r>
        </w:sdtContent>
      </w:sdt>
    </w:p>
    <w:p w:rsidR="0080601A" w:rsidRPr="006529C4" w:rsidRDefault="0080601A" w:rsidP="00774EC7">
      <w:pPr>
        <w:spacing w:after="0" w:line="240" w:lineRule="auto"/>
        <w:jc w:val="both"/>
        <w:rPr>
          <w:rFonts w:cs="Times New Roman"/>
          <w:szCs w:val="24"/>
        </w:rPr>
      </w:pPr>
    </w:p>
    <w:p w:rsidR="0080601A" w:rsidRPr="006529C4" w:rsidRDefault="0080601A"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54.05131, Education Code) of this bill.</w:t>
      </w:r>
    </w:p>
    <w:p w:rsidR="0080601A" w:rsidRPr="006529C4" w:rsidRDefault="0080601A" w:rsidP="00774EC7">
      <w:pPr>
        <w:spacing w:after="0" w:line="240" w:lineRule="auto"/>
        <w:jc w:val="both"/>
        <w:rPr>
          <w:rFonts w:cs="Times New Roman"/>
          <w:szCs w:val="24"/>
        </w:rPr>
      </w:pPr>
    </w:p>
    <w:p w:rsidR="0080601A" w:rsidRPr="005C2A78" w:rsidRDefault="008060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2FF99A50F342029BC0CEC43C65381C"/>
          </w:placeholder>
        </w:sdtPr>
        <w:sdtContent>
          <w:r>
            <w:rPr>
              <w:rFonts w:eastAsia="Times New Roman" w:cs="Times New Roman"/>
              <w:b/>
              <w:szCs w:val="24"/>
              <w:u w:val="single"/>
            </w:rPr>
            <w:t>SECTION BY SECTION ANALYSIS</w:t>
          </w:r>
        </w:sdtContent>
      </w:sdt>
    </w:p>
    <w:p w:rsidR="0080601A" w:rsidRPr="005C2A78" w:rsidRDefault="0080601A" w:rsidP="000F1DF9">
      <w:pPr>
        <w:spacing w:after="0" w:line="240" w:lineRule="auto"/>
        <w:jc w:val="both"/>
        <w:rPr>
          <w:rFonts w:eastAsia="Times New Roman" w:cs="Times New Roman"/>
          <w:szCs w:val="24"/>
        </w:rPr>
      </w:pPr>
    </w:p>
    <w:p w:rsidR="0080601A" w:rsidRDefault="008060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Sections 54.05131 and 54.05132, as follows:</w:t>
      </w:r>
    </w:p>
    <w:p w:rsidR="0080601A" w:rsidRDefault="0080601A" w:rsidP="000F1DF9">
      <w:pPr>
        <w:spacing w:after="0" w:line="240" w:lineRule="auto"/>
        <w:jc w:val="both"/>
        <w:rPr>
          <w:rFonts w:eastAsia="Times New Roman" w:cs="Times New Roman"/>
          <w:szCs w:val="24"/>
        </w:rPr>
      </w:pPr>
    </w:p>
    <w:p w:rsidR="0080601A" w:rsidRDefault="0080601A" w:rsidP="00137412">
      <w:pPr>
        <w:spacing w:after="0" w:line="240" w:lineRule="auto"/>
        <w:ind w:left="720"/>
        <w:jc w:val="both"/>
        <w:rPr>
          <w:rFonts w:eastAsia="Times New Roman" w:cs="Times New Roman"/>
          <w:szCs w:val="24"/>
        </w:rPr>
      </w:pPr>
      <w:r>
        <w:rPr>
          <w:rFonts w:eastAsia="Times New Roman" w:cs="Times New Roman"/>
          <w:szCs w:val="24"/>
        </w:rPr>
        <w:t xml:space="preserve">Sec. 54.05131. PERFORMANCE-BASED DESIGNATED TUITION LIMITATIONS. (a) Defines "administrative costs," "coordinating board," "general academic teaching institution," "public state college," and "performance measure." </w:t>
      </w:r>
    </w:p>
    <w:p w:rsidR="0080601A" w:rsidRDefault="0080601A" w:rsidP="00137412">
      <w:pPr>
        <w:spacing w:after="0" w:line="240" w:lineRule="auto"/>
        <w:ind w:left="72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 xml:space="preserve">(b) Requires the Texas Higher Education Coordinating Board (THECB), using the negotiated rulemaking procedures under Chapter 2008 (Negotiated Rulemaking), Government Code, to define the following performance measures to be used for purposes of this section: </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w:t>
      </w:r>
    </w:p>
    <w:p w:rsidR="0080601A" w:rsidRDefault="0080601A" w:rsidP="00137412">
      <w:pPr>
        <w:pStyle w:val="ListParagraph"/>
        <w:tabs>
          <w:tab w:val="left" w:pos="2520"/>
        </w:tabs>
        <w:spacing w:after="0" w:line="240" w:lineRule="auto"/>
        <w:ind w:left="2160"/>
        <w:jc w:val="both"/>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total number of undergraduate degrees awarded by the institution, adjusted by the institution's six-year graduation rate under Subdivision (10); </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 per 100 undergraduate full-time student equivalents;</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degrees awarded by the institution to at-risk students;</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students at the institution having successfully completed at least 25 percent of the student's degree requirements or having earned at least 30 credit hours toward a 120-credit-hour degree;</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total number of undergraduate students at the institution having successfully completed at least 50 percent of the student's degree requirements or having earned at least 60 credit hours toward a 120-credit-hour degree;</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total number of undergraduate students at the institution having successfully completed at least 75 percent of the student's degree requirements or having earned at least 90 credit hours toward a 120-credit-hour degree; </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average length of a student's enrollment, by number of semesters, for undergraduate degree completion; </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four-year graduation rate of first-time, full-time, bachelor's degree-seeking students who enrolled in at least 12 semester credit hours in the student's first fall semester at the institution and who graduated from the institution or from any other institution of higher education (IHE) or private or independent IHE;</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the six-year graduation rate of first-time, full-time, bachelor's degree-seeking students who enrolled in at least 12 semester credit hours in the student's first fall semester at the institution and who graduated from the institution or from any other IHE or private or independent IHE; and</w:t>
      </w:r>
    </w:p>
    <w:p w:rsidR="0080601A" w:rsidRPr="00137412" w:rsidRDefault="0080601A" w:rsidP="00137412">
      <w:pPr>
        <w:pStyle w:val="ListParagraph"/>
        <w:tabs>
          <w:tab w:val="left" w:pos="2520"/>
        </w:tabs>
        <w:ind w:left="2160"/>
        <w:rPr>
          <w:rFonts w:eastAsia="Times New Roman" w:cs="Times New Roman"/>
          <w:szCs w:val="24"/>
        </w:rPr>
      </w:pPr>
    </w:p>
    <w:p w:rsidR="0080601A" w:rsidRDefault="0080601A" w:rsidP="00137412">
      <w:pPr>
        <w:pStyle w:val="ListParagraph"/>
        <w:numPr>
          <w:ilvl w:val="0"/>
          <w:numId w:val="1"/>
        </w:numPr>
        <w:tabs>
          <w:tab w:val="left" w:pos="2610"/>
        </w:tabs>
        <w:spacing w:after="0" w:line="240" w:lineRule="auto"/>
        <w:ind w:left="2160" w:firstLine="0"/>
        <w:jc w:val="both"/>
        <w:rPr>
          <w:rFonts w:eastAsia="Times New Roman" w:cs="Times New Roman"/>
          <w:szCs w:val="24"/>
        </w:rPr>
      </w:pPr>
      <w:r>
        <w:rPr>
          <w:rFonts w:eastAsia="Times New Roman" w:cs="Times New Roman"/>
          <w:szCs w:val="24"/>
        </w:rPr>
        <w:t xml:space="preserve">the institution's administrative costs. </w:t>
      </w:r>
    </w:p>
    <w:p w:rsidR="0080601A" w:rsidRDefault="0080601A" w:rsidP="00137412">
      <w:pPr>
        <w:spacing w:after="0" w:line="240" w:lineRule="auto"/>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applies only to a general academic teaching institution other than a public state college. </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(d) Requires THECB, not later than November 1 of each even-numbered year, to:</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in consultation with the president of each institution to which this section applies, establish a target level for each performance measure applicable to the institution for each of the two next academic years to encourage the institution to achieve reasonable incremental progress toward appropriate long-term goals for performance in each performance measure, taking into account the mission, resources, and circumstances of the particular institution; and</w:t>
      </w:r>
    </w:p>
    <w:p w:rsidR="0080601A" w:rsidRDefault="0080601A" w:rsidP="00137412">
      <w:pPr>
        <w:pStyle w:val="ListParagraph"/>
        <w:tabs>
          <w:tab w:val="left" w:pos="2520"/>
        </w:tabs>
        <w:spacing w:after="0" w:line="240" w:lineRule="auto"/>
        <w:ind w:left="2160"/>
        <w:jc w:val="both"/>
        <w:rPr>
          <w:rFonts w:eastAsia="Times New Roman" w:cs="Times New Roman"/>
          <w:szCs w:val="24"/>
        </w:rPr>
      </w:pPr>
    </w:p>
    <w:p w:rsidR="0080601A" w:rsidRDefault="0080601A" w:rsidP="00137412">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submit to the standing committee of each house of the legislature with primary jurisdiction over higher education and to each institution to which this section applies a report that includes the target levels established by THECB under Subdivision (1) for each institution. </w:t>
      </w:r>
    </w:p>
    <w:p w:rsidR="0080601A" w:rsidRDefault="0080601A" w:rsidP="00137412">
      <w:pPr>
        <w:spacing w:after="0" w:line="240" w:lineRule="auto"/>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 xml:space="preserve">(e) Requires THECB, using the negotiated rulemaking procedures under Chapter 2008, Government Code, by rule, to develop standards to be considered by THECB in establishing an institution's target levels for performance measures. Requires the negotiated rulemaking committee established for purposes of this subsection and THECB, in developing the standards, to consider institutional improvement on target levels. Requires THECB to reconvene the negotiated rulemaking committee to assist THECB whenever THECB modifies or updates the standards. </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(f) Requires THECB, in adopting rules under this section, to prescribe any necessary adjustments or exceptions for institutions that offer only upper-division courses and to which certain performance measures prescribed by Subsection (b) do not apply.</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(g) Requires THECB, as soon as practicable after each academic year, to determine whether an institution has achieved the applicable target levels for that academic year. Requires THECB, using the negotiated rulemaking procedures under Chapter 2008, Government Code, to establish the process by which an institution's achievement on a performance measure is submitted to and verified by THECB.</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 xml:space="preserve">(h) Requires THECB, after THECB makes a determination for an institution under Subsection (g), to notify the governing board of the institution that Subsection (i) or (j), as applicable, applies to the tuition charged by the institution for the second academic year following the academic year for which the determination is made and of the limitation prescribed by the applicable subsection on the amount of tuition that may be charged by the institution for that academic year. </w:t>
      </w:r>
    </w:p>
    <w:p w:rsidR="0080601A" w:rsidRDefault="0080601A" w:rsidP="00137412">
      <w:pPr>
        <w:spacing w:after="0" w:line="240" w:lineRule="auto"/>
        <w:ind w:left="1440"/>
        <w:jc w:val="both"/>
        <w:rPr>
          <w:rFonts w:eastAsia="Times New Roman" w:cs="Times New Roman"/>
          <w:szCs w:val="24"/>
        </w:rPr>
      </w:pPr>
    </w:p>
    <w:p w:rsidR="0080601A" w:rsidRDefault="0080601A" w:rsidP="00137412">
      <w:pPr>
        <w:spacing w:after="0" w:line="240" w:lineRule="auto"/>
        <w:ind w:left="1440"/>
        <w:jc w:val="both"/>
        <w:rPr>
          <w:rFonts w:eastAsia="Times New Roman" w:cs="Times New Roman"/>
          <w:szCs w:val="24"/>
        </w:rPr>
      </w:pPr>
      <w:r>
        <w:rPr>
          <w:rFonts w:eastAsia="Times New Roman" w:cs="Times New Roman"/>
          <w:szCs w:val="24"/>
        </w:rPr>
        <w:t xml:space="preserve">(i) Provides that this subsection applies to tuition charged for an academic year by an institution to which this section applies only if the institution did not achieve,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academic year. Prohibits the amount of tuition the governing board of the institution charges under Section 54.0513 (Designated Tuition) to a student for that academic year, for an academic year in which this subsection applies to the tuition charged by an institution, unless the institution has been granted an exception under Subsection (m) for that year, from exceeding the total amount of tuition that the governing board would have charged under that section to a similarly situated student in the preceding academic year, as that amount is adjusted for each academic year for inflation. Prohibits the governing board from increasing the amount of tuition charged to a student more than once in any academic year. </w:t>
      </w:r>
    </w:p>
    <w:p w:rsidR="0080601A" w:rsidRDefault="0080601A" w:rsidP="00137412">
      <w:pPr>
        <w:spacing w:after="0" w:line="240" w:lineRule="auto"/>
        <w:ind w:left="1440"/>
        <w:jc w:val="both"/>
        <w:rPr>
          <w:rFonts w:eastAsia="Times New Roman" w:cs="Times New Roman"/>
          <w:szCs w:val="24"/>
        </w:rPr>
      </w:pPr>
    </w:p>
    <w:p w:rsidR="0080601A" w:rsidRDefault="0080601A" w:rsidP="00C81DD6">
      <w:pPr>
        <w:pStyle w:val="ListParagraph"/>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(j) Provides that this subsection applies to tuition charged for an academic year by an institution to which this section applies only if the institution achieved, in the second academic year preceding that academic year, the target level assigned by THECB for the administrative costs performance measure as applicable to the institution for that preceding academic year and a majority of the target levels assigned to the remaining performance measures by THECB as applicable to the institution for that preceding year. Prohibits the amount of tuition the governing board of the institution charges under Section 54.0513 to a student for that academic year, for an academic year in which this subsection applies to the tuition charged by an institution, from exceeding by more than three percent the total amount of tuition that the governing board would have charged under that section to a similarly situated student in the preceding academic year, as that amount is adjusted for each academic year for inflation. Prohibits the governing board from increasing the amount of tuition charged to a student more than once in any academic year. </w:t>
      </w:r>
    </w:p>
    <w:p w:rsidR="0080601A" w:rsidRDefault="0080601A" w:rsidP="00137412">
      <w:pPr>
        <w:tabs>
          <w:tab w:val="left" w:pos="1800"/>
        </w:tabs>
        <w:spacing w:after="0" w:line="240" w:lineRule="auto"/>
        <w:jc w:val="both"/>
        <w:rPr>
          <w:rFonts w:eastAsia="Times New Roman" w:cs="Times New Roman"/>
          <w:szCs w:val="24"/>
        </w:rPr>
      </w:pPr>
    </w:p>
    <w:p w:rsidR="0080601A"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(k) Provides that for the purposes of this section: </w:t>
      </w:r>
    </w:p>
    <w:p w:rsidR="0080601A" w:rsidRDefault="0080601A" w:rsidP="00137412">
      <w:pPr>
        <w:tabs>
          <w:tab w:val="left" w:pos="1800"/>
        </w:tabs>
        <w:spacing w:after="0" w:line="240" w:lineRule="auto"/>
        <w:ind w:left="1440"/>
        <w:jc w:val="both"/>
        <w:rPr>
          <w:rFonts w:eastAsia="Times New Roman" w:cs="Times New Roman"/>
          <w:szCs w:val="24"/>
        </w:rPr>
      </w:pPr>
    </w:p>
    <w:p w:rsidR="0080601A" w:rsidRDefault="0080601A" w:rsidP="00412916">
      <w:pPr>
        <w:pStyle w:val="ListParagraph"/>
        <w:numPr>
          <w:ilvl w:val="0"/>
          <w:numId w:val="3"/>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an institution is considered to have achieved a target level assigned to a performance measure if the institution has achieved at least 98 percent of the target level; and</w:t>
      </w:r>
    </w:p>
    <w:p w:rsidR="0080601A" w:rsidRDefault="0080601A" w:rsidP="00137412">
      <w:pPr>
        <w:pStyle w:val="ListParagraph"/>
        <w:tabs>
          <w:tab w:val="left" w:pos="1800"/>
          <w:tab w:val="left" w:pos="2520"/>
        </w:tabs>
        <w:spacing w:after="0" w:line="240" w:lineRule="auto"/>
        <w:ind w:left="2160"/>
        <w:jc w:val="both"/>
        <w:rPr>
          <w:rFonts w:eastAsia="Times New Roman" w:cs="Times New Roman"/>
          <w:szCs w:val="24"/>
        </w:rPr>
      </w:pPr>
    </w:p>
    <w:p w:rsidR="0080601A" w:rsidRDefault="0080601A" w:rsidP="00412916">
      <w:pPr>
        <w:pStyle w:val="ListParagraph"/>
        <w:numPr>
          <w:ilvl w:val="0"/>
          <w:numId w:val="3"/>
        </w:numPr>
        <w:tabs>
          <w:tab w:val="left" w:pos="1800"/>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students are similarly situated if they share the same residency status, degree program, course load, course level, tuition exemption status, and other circumstances affecting the tuition charged to the student. </w:t>
      </w:r>
    </w:p>
    <w:p w:rsidR="0080601A" w:rsidRDefault="0080601A" w:rsidP="00137412">
      <w:pPr>
        <w:tabs>
          <w:tab w:val="left" w:pos="1800"/>
        </w:tabs>
        <w:spacing w:after="0" w:line="240" w:lineRule="auto"/>
        <w:jc w:val="both"/>
        <w:rPr>
          <w:rFonts w:eastAsia="Times New Roman" w:cs="Times New Roman"/>
          <w:szCs w:val="24"/>
        </w:rPr>
      </w:pPr>
    </w:p>
    <w:p w:rsidR="0080601A"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(l) Requires the Legislative Budget Board (LBB), not later than August 31 of each year, or as soon thereafter as practicable, to publish and certify to the governing board of each institution to which this section applies the inflation rate to be used for purposes of this section for the next academic year. Provides that the inflation rate is the percentage increase, if any, as expressed in decimal form rounded to the nearest thousandth of one percent, in the consumer price index (CPI), as defined by Section 341.201 (Definitions of Indexes), Finance Code, for the preceding 12-month period as compared to the CPI for the 12-month period preceding that period.</w:t>
      </w:r>
    </w:p>
    <w:p w:rsidR="0080601A" w:rsidRDefault="0080601A" w:rsidP="00137412">
      <w:pPr>
        <w:tabs>
          <w:tab w:val="left" w:pos="1800"/>
        </w:tabs>
        <w:spacing w:after="0" w:line="240" w:lineRule="auto"/>
        <w:ind w:left="1440"/>
        <w:jc w:val="both"/>
        <w:rPr>
          <w:rFonts w:eastAsia="Times New Roman" w:cs="Times New Roman"/>
          <w:szCs w:val="24"/>
        </w:rPr>
      </w:pPr>
    </w:p>
    <w:p w:rsidR="0080601A"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(m) Requires THECB, using the negotiated rulemaking procedures under Chapter 2008, Government Code, by rule, to establish an exception to the application of Subsection (i) for an institution to which that subsection would otherwise apply for an academic year in the event of a natural disaster or other extraordinary circumstance affecting the institution's achievement on performance measures. Provides that, in an academic year for which an institution is granted an exception, Subsection (j) applies to the institution. </w:t>
      </w:r>
    </w:p>
    <w:p w:rsidR="0080601A" w:rsidRDefault="0080601A" w:rsidP="00137412">
      <w:pPr>
        <w:tabs>
          <w:tab w:val="left" w:pos="1800"/>
        </w:tabs>
        <w:spacing w:after="0" w:line="240" w:lineRule="auto"/>
        <w:ind w:left="1440"/>
        <w:jc w:val="both"/>
        <w:rPr>
          <w:rFonts w:eastAsia="Times New Roman" w:cs="Times New Roman"/>
          <w:szCs w:val="24"/>
        </w:rPr>
      </w:pPr>
    </w:p>
    <w:p w:rsidR="0080601A" w:rsidRDefault="0080601A" w:rsidP="00137412">
      <w:pPr>
        <w:tabs>
          <w:tab w:val="left" w:pos="1800"/>
        </w:tabs>
        <w:spacing w:after="0" w:line="240" w:lineRule="auto"/>
        <w:ind w:left="720"/>
        <w:jc w:val="both"/>
        <w:rPr>
          <w:rFonts w:eastAsia="Times New Roman" w:cs="Times New Roman"/>
          <w:szCs w:val="24"/>
        </w:rPr>
      </w:pPr>
      <w:r>
        <w:rPr>
          <w:rFonts w:eastAsia="Times New Roman" w:cs="Times New Roman"/>
          <w:szCs w:val="24"/>
        </w:rPr>
        <w:t xml:space="preserve">Sec. 54.05132. TEMPORARY LIMITATION ON TOTAL AMOUNT OF TUITION. (a) Defines "general academic teaching institution," "public state college," and "tuition." </w:t>
      </w:r>
    </w:p>
    <w:p w:rsidR="0080601A" w:rsidRDefault="0080601A" w:rsidP="00137412">
      <w:pPr>
        <w:tabs>
          <w:tab w:val="left" w:pos="1800"/>
        </w:tabs>
        <w:spacing w:after="0" w:line="240" w:lineRule="auto"/>
        <w:ind w:left="720"/>
        <w:jc w:val="both"/>
        <w:rPr>
          <w:rFonts w:eastAsia="Times New Roman" w:cs="Times New Roman"/>
          <w:szCs w:val="24"/>
        </w:rPr>
      </w:pPr>
    </w:p>
    <w:p w:rsidR="0080601A"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Prohibits the total amount of tuition charged by a general academic teaching institution other than a public state college to a student for the 2018-2019 or 2019-2020 academic year, notwithstanding Section 54.0513, from exceeding by more than one percent the total amount of tuition that the institution would have charged to a similarly situated student for the preceding academic year, as that amount is adjusted for each academic year for inflation. Provides that, for purposes of this subsection, students are similarly situated if they share the same residency status, degree program, course load, course level, tuition exemption status, and other circumstances affecting the tuition charged to the student. Provides that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 </w:t>
      </w:r>
    </w:p>
    <w:p w:rsidR="0080601A" w:rsidRDefault="0080601A" w:rsidP="00137412">
      <w:pPr>
        <w:tabs>
          <w:tab w:val="left" w:pos="1800"/>
        </w:tabs>
        <w:spacing w:after="0" w:line="240" w:lineRule="auto"/>
        <w:ind w:left="1440"/>
        <w:jc w:val="both"/>
        <w:rPr>
          <w:rFonts w:eastAsia="Times New Roman" w:cs="Times New Roman"/>
          <w:szCs w:val="24"/>
        </w:rPr>
      </w:pPr>
    </w:p>
    <w:p w:rsidR="0080601A"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Requires LBB, not later than August 31 of each year, or as soon thereafter as practicable, to publish and certify to the governing board of each institution to which this section applies the inflation rate to be used for purposes of this section for the next academic year. Provides that the inflation rate is the percentage increase, if any, as expressed in decimal form rounded to the nearest thousandth of one percent, in the consumer price index, as defined by Section 341.201, Finance Code, for the preceding 12-month period as compared to the CPI for the 12-month period preceding that period. </w:t>
      </w:r>
    </w:p>
    <w:p w:rsidR="0080601A" w:rsidRDefault="0080601A" w:rsidP="00137412">
      <w:pPr>
        <w:tabs>
          <w:tab w:val="left" w:pos="1800"/>
        </w:tabs>
        <w:spacing w:after="0" w:line="240" w:lineRule="auto"/>
        <w:ind w:left="1440"/>
        <w:jc w:val="both"/>
        <w:rPr>
          <w:rFonts w:eastAsia="Times New Roman" w:cs="Times New Roman"/>
          <w:szCs w:val="24"/>
        </w:rPr>
      </w:pPr>
    </w:p>
    <w:p w:rsidR="0080601A" w:rsidRPr="00137412" w:rsidRDefault="0080601A" w:rsidP="00137412">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(d) Provides that this section expires September 1, 2020. </w:t>
      </w:r>
    </w:p>
    <w:p w:rsidR="0080601A" w:rsidRPr="005C2A78" w:rsidRDefault="0080601A" w:rsidP="000F1DF9">
      <w:pPr>
        <w:spacing w:after="0" w:line="240" w:lineRule="auto"/>
        <w:jc w:val="both"/>
        <w:rPr>
          <w:rFonts w:eastAsia="Times New Roman" w:cs="Times New Roman"/>
          <w:szCs w:val="24"/>
        </w:rPr>
      </w:pPr>
    </w:p>
    <w:p w:rsidR="0080601A" w:rsidRPr="005C2A78" w:rsidRDefault="0080601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54.05131, Education Code, as added by this Act, applies beginning with the 2020-2021 academic year. </w:t>
      </w:r>
    </w:p>
    <w:p w:rsidR="0080601A" w:rsidRPr="005C2A78" w:rsidRDefault="0080601A" w:rsidP="000F1DF9">
      <w:pPr>
        <w:spacing w:after="0" w:line="240" w:lineRule="auto"/>
        <w:jc w:val="both"/>
        <w:rPr>
          <w:rFonts w:eastAsia="Times New Roman" w:cs="Times New Roman"/>
          <w:szCs w:val="24"/>
        </w:rPr>
      </w:pPr>
    </w:p>
    <w:p w:rsidR="0080601A" w:rsidRPr="007D27FA" w:rsidRDefault="0080601A" w:rsidP="007D27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80601A" w:rsidRPr="00C26E76" w:rsidRDefault="0080601A" w:rsidP="00C26E76"/>
    <w:p w:rsidR="0080601A" w:rsidRPr="009F0179" w:rsidRDefault="0080601A" w:rsidP="009F0179"/>
    <w:p w:rsidR="00986E9F" w:rsidRPr="0080601A" w:rsidRDefault="00986E9F" w:rsidP="0080601A"/>
    <w:sectPr w:rsidR="00986E9F" w:rsidRPr="0080601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68" w:rsidRDefault="00153368" w:rsidP="000F1DF9">
      <w:pPr>
        <w:spacing w:after="0" w:line="240" w:lineRule="auto"/>
      </w:pPr>
      <w:r>
        <w:separator/>
      </w:r>
    </w:p>
  </w:endnote>
  <w:endnote w:type="continuationSeparator" w:id="0">
    <w:p w:rsidR="00153368" w:rsidRDefault="001533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33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01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601A">
                <w:rPr>
                  <w:sz w:val="20"/>
                  <w:szCs w:val="20"/>
                </w:rPr>
                <w:t>C.S.S.B. 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60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33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60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601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68" w:rsidRDefault="00153368" w:rsidP="000F1DF9">
      <w:pPr>
        <w:spacing w:after="0" w:line="240" w:lineRule="auto"/>
      </w:pPr>
      <w:r>
        <w:separator/>
      </w:r>
    </w:p>
  </w:footnote>
  <w:footnote w:type="continuationSeparator" w:id="0">
    <w:p w:rsidR="00153368" w:rsidRDefault="0015336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2483B"/>
    <w:multiLevelType w:val="hybridMultilevel"/>
    <w:tmpl w:val="69123C60"/>
    <w:lvl w:ilvl="0" w:tplc="587C04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3183407"/>
    <w:multiLevelType w:val="hybridMultilevel"/>
    <w:tmpl w:val="5F940D8A"/>
    <w:lvl w:ilvl="0" w:tplc="9AFA11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B566B41"/>
    <w:multiLevelType w:val="hybridMultilevel"/>
    <w:tmpl w:val="929CE3FA"/>
    <w:lvl w:ilvl="0" w:tplc="C2FE26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36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01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0601A"/>
    <w:pPr>
      <w:ind w:left="720"/>
      <w:contextualSpacing/>
    </w:pPr>
  </w:style>
  <w:style w:type="paragraph" w:styleId="NormalWeb">
    <w:name w:val="Normal (Web)"/>
    <w:basedOn w:val="Normal"/>
    <w:uiPriority w:val="99"/>
    <w:semiHidden/>
    <w:unhideWhenUsed/>
    <w:rsid w:val="008060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0601A"/>
    <w:pPr>
      <w:ind w:left="720"/>
      <w:contextualSpacing/>
    </w:pPr>
  </w:style>
  <w:style w:type="paragraph" w:styleId="NormalWeb">
    <w:name w:val="Normal (Web)"/>
    <w:basedOn w:val="Normal"/>
    <w:uiPriority w:val="99"/>
    <w:semiHidden/>
    <w:unhideWhenUsed/>
    <w:rsid w:val="008060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6EC1" w:rsidP="00216E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C82908DFB486EA7A9DBCAC5DC2AD0"/>
        <w:category>
          <w:name w:val="General"/>
          <w:gallery w:val="placeholder"/>
        </w:category>
        <w:types>
          <w:type w:val="bbPlcHdr"/>
        </w:types>
        <w:behaviors>
          <w:behavior w:val="content"/>
        </w:behaviors>
        <w:guid w:val="{1E0436ED-AF04-409C-8247-7026FE63C2AC}"/>
      </w:docPartPr>
      <w:docPartBody>
        <w:p w:rsidR="00000000" w:rsidRDefault="00FA6339"/>
      </w:docPartBody>
    </w:docPart>
    <w:docPart>
      <w:docPartPr>
        <w:name w:val="80F7EE4A06664F50832D3E06A5EFA246"/>
        <w:category>
          <w:name w:val="General"/>
          <w:gallery w:val="placeholder"/>
        </w:category>
        <w:types>
          <w:type w:val="bbPlcHdr"/>
        </w:types>
        <w:behaviors>
          <w:behavior w:val="content"/>
        </w:behaviors>
        <w:guid w:val="{2117FA8D-0D3C-4D74-86C3-BC0B916E8228}"/>
      </w:docPartPr>
      <w:docPartBody>
        <w:p w:rsidR="00000000" w:rsidRDefault="00FA6339"/>
      </w:docPartBody>
    </w:docPart>
    <w:docPart>
      <w:docPartPr>
        <w:name w:val="9AA039405C76420A9195EF8672576851"/>
        <w:category>
          <w:name w:val="General"/>
          <w:gallery w:val="placeholder"/>
        </w:category>
        <w:types>
          <w:type w:val="bbPlcHdr"/>
        </w:types>
        <w:behaviors>
          <w:behavior w:val="content"/>
        </w:behaviors>
        <w:guid w:val="{535F8908-91CE-4F6A-8F82-79B9EC94C24A}"/>
      </w:docPartPr>
      <w:docPartBody>
        <w:p w:rsidR="00000000" w:rsidRDefault="00FA6339"/>
      </w:docPartBody>
    </w:docPart>
    <w:docPart>
      <w:docPartPr>
        <w:name w:val="62480F6899FA465BA674C765C9152A43"/>
        <w:category>
          <w:name w:val="General"/>
          <w:gallery w:val="placeholder"/>
        </w:category>
        <w:types>
          <w:type w:val="bbPlcHdr"/>
        </w:types>
        <w:behaviors>
          <w:behavior w:val="content"/>
        </w:behaviors>
        <w:guid w:val="{BAFCCDA9-57EE-4336-9286-5A9E4DDAF33F}"/>
      </w:docPartPr>
      <w:docPartBody>
        <w:p w:rsidR="00000000" w:rsidRDefault="00FA6339"/>
      </w:docPartBody>
    </w:docPart>
    <w:docPart>
      <w:docPartPr>
        <w:name w:val="49752C33F9104B9BBEE87171250B85A9"/>
        <w:category>
          <w:name w:val="General"/>
          <w:gallery w:val="placeholder"/>
        </w:category>
        <w:types>
          <w:type w:val="bbPlcHdr"/>
        </w:types>
        <w:behaviors>
          <w:behavior w:val="content"/>
        </w:behaviors>
        <w:guid w:val="{F6FB1442-71D0-4465-B4AE-6C196278F638}"/>
      </w:docPartPr>
      <w:docPartBody>
        <w:p w:rsidR="00000000" w:rsidRDefault="00FA6339"/>
      </w:docPartBody>
    </w:docPart>
    <w:docPart>
      <w:docPartPr>
        <w:name w:val="62617AEF147748D09E8C771C3C685F7A"/>
        <w:category>
          <w:name w:val="General"/>
          <w:gallery w:val="placeholder"/>
        </w:category>
        <w:types>
          <w:type w:val="bbPlcHdr"/>
        </w:types>
        <w:behaviors>
          <w:behavior w:val="content"/>
        </w:behaviors>
        <w:guid w:val="{C50BB73E-1C89-4EE2-8DA1-C4E556F94567}"/>
      </w:docPartPr>
      <w:docPartBody>
        <w:p w:rsidR="00000000" w:rsidRDefault="00FA6339"/>
      </w:docPartBody>
    </w:docPart>
    <w:docPart>
      <w:docPartPr>
        <w:name w:val="37E2A5C9BD524DE3A5FD7A7A4FB02088"/>
        <w:category>
          <w:name w:val="General"/>
          <w:gallery w:val="placeholder"/>
        </w:category>
        <w:types>
          <w:type w:val="bbPlcHdr"/>
        </w:types>
        <w:behaviors>
          <w:behavior w:val="content"/>
        </w:behaviors>
        <w:guid w:val="{7329B0C6-9ECC-4E70-BF57-926F4DD7D3D6}"/>
      </w:docPartPr>
      <w:docPartBody>
        <w:p w:rsidR="00000000" w:rsidRDefault="00FA6339"/>
      </w:docPartBody>
    </w:docPart>
    <w:docPart>
      <w:docPartPr>
        <w:name w:val="B44E32F1428B4D7799DB1DA7E5997B4F"/>
        <w:category>
          <w:name w:val="General"/>
          <w:gallery w:val="placeholder"/>
        </w:category>
        <w:types>
          <w:type w:val="bbPlcHdr"/>
        </w:types>
        <w:behaviors>
          <w:behavior w:val="content"/>
        </w:behaviors>
        <w:guid w:val="{E9C500DA-1A0F-4A84-B275-310FE579F111}"/>
      </w:docPartPr>
      <w:docPartBody>
        <w:p w:rsidR="00000000" w:rsidRDefault="00FA6339"/>
      </w:docPartBody>
    </w:docPart>
    <w:docPart>
      <w:docPartPr>
        <w:name w:val="5056DFC79A8D4D3AB320E2EDF0193632"/>
        <w:category>
          <w:name w:val="General"/>
          <w:gallery w:val="placeholder"/>
        </w:category>
        <w:types>
          <w:type w:val="bbPlcHdr"/>
        </w:types>
        <w:behaviors>
          <w:behavior w:val="content"/>
        </w:behaviors>
        <w:guid w:val="{E320D326-B596-4991-9714-B492A14944FF}"/>
      </w:docPartPr>
      <w:docPartBody>
        <w:p w:rsidR="00000000" w:rsidRDefault="00216EC1" w:rsidP="00216EC1">
          <w:pPr>
            <w:pStyle w:val="5056DFC79A8D4D3AB320E2EDF0193632"/>
          </w:pPr>
          <w:r w:rsidRPr="00A30DD1">
            <w:rPr>
              <w:rStyle w:val="PlaceholderText"/>
            </w:rPr>
            <w:t>Click here to enter a date.</w:t>
          </w:r>
        </w:p>
      </w:docPartBody>
    </w:docPart>
    <w:docPart>
      <w:docPartPr>
        <w:name w:val="833C0B9868BB43E9B717438A6F25C480"/>
        <w:category>
          <w:name w:val="General"/>
          <w:gallery w:val="placeholder"/>
        </w:category>
        <w:types>
          <w:type w:val="bbPlcHdr"/>
        </w:types>
        <w:behaviors>
          <w:behavior w:val="content"/>
        </w:behaviors>
        <w:guid w:val="{E5336C20-99F2-495C-AC79-35B2DCCFAA25}"/>
      </w:docPartPr>
      <w:docPartBody>
        <w:p w:rsidR="00000000" w:rsidRDefault="00FA6339"/>
      </w:docPartBody>
    </w:docPart>
    <w:docPart>
      <w:docPartPr>
        <w:name w:val="87DFDFDC652F4ED784C8BD7539D3F5ED"/>
        <w:category>
          <w:name w:val="General"/>
          <w:gallery w:val="placeholder"/>
        </w:category>
        <w:types>
          <w:type w:val="bbPlcHdr"/>
        </w:types>
        <w:behaviors>
          <w:behavior w:val="content"/>
        </w:behaviors>
        <w:guid w:val="{A79A12AF-4393-4F26-9842-E0335AFF0C8F}"/>
      </w:docPartPr>
      <w:docPartBody>
        <w:p w:rsidR="00000000" w:rsidRDefault="00FA6339"/>
      </w:docPartBody>
    </w:docPart>
    <w:docPart>
      <w:docPartPr>
        <w:name w:val="46E95F89AAFC4F4B8E09A2483AB60E0E"/>
        <w:category>
          <w:name w:val="General"/>
          <w:gallery w:val="placeholder"/>
        </w:category>
        <w:types>
          <w:type w:val="bbPlcHdr"/>
        </w:types>
        <w:behaviors>
          <w:behavior w:val="content"/>
        </w:behaviors>
        <w:guid w:val="{BD895E0A-FFCD-4E6D-815B-29E916B2CAC4}"/>
      </w:docPartPr>
      <w:docPartBody>
        <w:p w:rsidR="00000000" w:rsidRDefault="00216EC1" w:rsidP="00216EC1">
          <w:pPr>
            <w:pStyle w:val="46E95F89AAFC4F4B8E09A2483AB60E0E"/>
          </w:pPr>
          <w:r>
            <w:rPr>
              <w:rFonts w:eastAsia="Times New Roman" w:cs="Times New Roman"/>
              <w:bCs/>
              <w:szCs w:val="24"/>
            </w:rPr>
            <w:t xml:space="preserve"> </w:t>
          </w:r>
        </w:p>
      </w:docPartBody>
    </w:docPart>
    <w:docPart>
      <w:docPartPr>
        <w:name w:val="0FBE2748F5B24A5EBE883AAC652E0096"/>
        <w:category>
          <w:name w:val="General"/>
          <w:gallery w:val="placeholder"/>
        </w:category>
        <w:types>
          <w:type w:val="bbPlcHdr"/>
        </w:types>
        <w:behaviors>
          <w:behavior w:val="content"/>
        </w:behaviors>
        <w:guid w:val="{F9ACEB16-B706-49A1-9F11-292A1AEFEE8A}"/>
      </w:docPartPr>
      <w:docPartBody>
        <w:p w:rsidR="00000000" w:rsidRDefault="00FA6339"/>
      </w:docPartBody>
    </w:docPart>
    <w:docPart>
      <w:docPartPr>
        <w:name w:val="942FF99A50F342029BC0CEC43C65381C"/>
        <w:category>
          <w:name w:val="General"/>
          <w:gallery w:val="placeholder"/>
        </w:category>
        <w:types>
          <w:type w:val="bbPlcHdr"/>
        </w:types>
        <w:behaviors>
          <w:behavior w:val="content"/>
        </w:behaviors>
        <w:guid w:val="{CF7B277D-F091-4A87-8808-4B207E267E6D}"/>
      </w:docPartPr>
      <w:docPartBody>
        <w:p w:rsidR="00000000" w:rsidRDefault="00FA63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EC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633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EC1"/>
    <w:rPr>
      <w:rFonts w:ascii="Times New Roman" w:hAnsi="Times New Roman"/>
      <w:sz w:val="24"/>
    </w:rPr>
  </w:style>
  <w:style w:type="paragraph" w:customStyle="1" w:styleId="487D89B4F8B34DB4967D41FE18F7F88D7">
    <w:name w:val="487D89B4F8B34DB4967D41FE18F7F88D7"/>
    <w:rsid w:val="00216EC1"/>
    <w:rPr>
      <w:rFonts w:ascii="Times New Roman" w:hAnsi="Times New Roman"/>
      <w:sz w:val="24"/>
    </w:rPr>
  </w:style>
  <w:style w:type="paragraph" w:customStyle="1" w:styleId="AE2570ED5D764CD7AF9686706F550F4620">
    <w:name w:val="AE2570ED5D764CD7AF9686706F550F4620"/>
    <w:rsid w:val="00216EC1"/>
    <w:pPr>
      <w:tabs>
        <w:tab w:val="center" w:pos="4680"/>
        <w:tab w:val="right" w:pos="9360"/>
      </w:tabs>
      <w:spacing w:after="0" w:line="240" w:lineRule="auto"/>
    </w:pPr>
    <w:rPr>
      <w:rFonts w:ascii="Times New Roman" w:hAnsi="Times New Roman"/>
      <w:sz w:val="24"/>
    </w:rPr>
  </w:style>
  <w:style w:type="paragraph" w:customStyle="1" w:styleId="5056DFC79A8D4D3AB320E2EDF0193632">
    <w:name w:val="5056DFC79A8D4D3AB320E2EDF0193632"/>
    <w:rsid w:val="00216EC1"/>
  </w:style>
  <w:style w:type="paragraph" w:customStyle="1" w:styleId="46E95F89AAFC4F4B8E09A2483AB60E0E">
    <w:name w:val="46E95F89AAFC4F4B8E09A2483AB60E0E"/>
    <w:rsid w:val="00216E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EC1"/>
    <w:rPr>
      <w:rFonts w:ascii="Times New Roman" w:hAnsi="Times New Roman"/>
      <w:sz w:val="24"/>
    </w:rPr>
  </w:style>
  <w:style w:type="paragraph" w:customStyle="1" w:styleId="487D89B4F8B34DB4967D41FE18F7F88D7">
    <w:name w:val="487D89B4F8B34DB4967D41FE18F7F88D7"/>
    <w:rsid w:val="00216EC1"/>
    <w:rPr>
      <w:rFonts w:ascii="Times New Roman" w:hAnsi="Times New Roman"/>
      <w:sz w:val="24"/>
    </w:rPr>
  </w:style>
  <w:style w:type="paragraph" w:customStyle="1" w:styleId="AE2570ED5D764CD7AF9686706F550F4620">
    <w:name w:val="AE2570ED5D764CD7AF9686706F550F4620"/>
    <w:rsid w:val="00216EC1"/>
    <w:pPr>
      <w:tabs>
        <w:tab w:val="center" w:pos="4680"/>
        <w:tab w:val="right" w:pos="9360"/>
      </w:tabs>
      <w:spacing w:after="0" w:line="240" w:lineRule="auto"/>
    </w:pPr>
    <w:rPr>
      <w:rFonts w:ascii="Times New Roman" w:hAnsi="Times New Roman"/>
      <w:sz w:val="24"/>
    </w:rPr>
  </w:style>
  <w:style w:type="paragraph" w:customStyle="1" w:styleId="5056DFC79A8D4D3AB320E2EDF0193632">
    <w:name w:val="5056DFC79A8D4D3AB320E2EDF0193632"/>
    <w:rsid w:val="00216EC1"/>
  </w:style>
  <w:style w:type="paragraph" w:customStyle="1" w:styleId="46E95F89AAFC4F4B8E09A2483AB60E0E">
    <w:name w:val="46E95F89AAFC4F4B8E09A2483AB60E0E"/>
    <w:rsid w:val="00216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9E8120-8921-4839-ADBB-5AFFDAB9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1920</Words>
  <Characters>10944</Characters>
  <Application>Microsoft Office Word</Application>
  <DocSecurity>0</DocSecurity>
  <Lines>91</Lines>
  <Paragraphs>25</Paragraphs>
  <ScaleCrop>false</ScaleCrop>
  <Company>Texas Legislative Council</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2017-03-28T14:37:00Z</dcterms:modified>
</cp:coreProperties>
</file>

<file path=docProps/custom.xml><?xml version="1.0" encoding="utf-8"?>
<op:Properties xmlns:vt="http://schemas.openxmlformats.org/officeDocument/2006/docPropsVTypes" xmlns:op="http://schemas.openxmlformats.org/officeDocument/2006/custom-properties"/>
</file>