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93DA9" w:rsidTr="00345119">
        <w:tc>
          <w:tcPr>
            <w:tcW w:w="9576" w:type="dxa"/>
            <w:noWrap/>
          </w:tcPr>
          <w:p w:rsidR="008423E4" w:rsidRPr="0022177D" w:rsidRDefault="008B6AF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B6AF7" w:rsidP="008423E4">
      <w:pPr>
        <w:jc w:val="center"/>
      </w:pPr>
    </w:p>
    <w:p w:rsidR="008423E4" w:rsidRPr="00B31F0E" w:rsidRDefault="008B6AF7" w:rsidP="008423E4"/>
    <w:p w:rsidR="008423E4" w:rsidRPr="00742794" w:rsidRDefault="008B6AF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93DA9" w:rsidTr="00345119">
        <w:tc>
          <w:tcPr>
            <w:tcW w:w="9576" w:type="dxa"/>
          </w:tcPr>
          <w:p w:rsidR="008423E4" w:rsidRPr="00861995" w:rsidRDefault="008B6AF7" w:rsidP="00345119">
            <w:pPr>
              <w:jc w:val="right"/>
            </w:pPr>
            <w:r>
              <w:t>C.S.S.B. 559</w:t>
            </w:r>
          </w:p>
        </w:tc>
      </w:tr>
      <w:tr w:rsidR="00193DA9" w:rsidTr="00345119">
        <w:tc>
          <w:tcPr>
            <w:tcW w:w="9576" w:type="dxa"/>
          </w:tcPr>
          <w:p w:rsidR="008423E4" w:rsidRPr="00861995" w:rsidRDefault="008B6AF7" w:rsidP="000E7376">
            <w:pPr>
              <w:jc w:val="right"/>
            </w:pPr>
            <w:r>
              <w:t xml:space="preserve">By: </w:t>
            </w:r>
            <w:r>
              <w:t>Hancock</w:t>
            </w:r>
          </w:p>
        </w:tc>
      </w:tr>
      <w:tr w:rsidR="00193DA9" w:rsidTr="00345119">
        <w:tc>
          <w:tcPr>
            <w:tcW w:w="9576" w:type="dxa"/>
          </w:tcPr>
          <w:p w:rsidR="008423E4" w:rsidRPr="00861995" w:rsidRDefault="008B6AF7" w:rsidP="00345119">
            <w:pPr>
              <w:jc w:val="right"/>
            </w:pPr>
            <w:r>
              <w:t>Ways &amp; Means</w:t>
            </w:r>
          </w:p>
        </w:tc>
      </w:tr>
      <w:tr w:rsidR="00193DA9" w:rsidTr="00345119">
        <w:tc>
          <w:tcPr>
            <w:tcW w:w="9576" w:type="dxa"/>
          </w:tcPr>
          <w:p w:rsidR="008423E4" w:rsidRDefault="008B6AF7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8B6AF7" w:rsidP="008423E4">
      <w:pPr>
        <w:tabs>
          <w:tab w:val="right" w:pos="9360"/>
        </w:tabs>
      </w:pPr>
    </w:p>
    <w:p w:rsidR="008423E4" w:rsidRDefault="008B6AF7" w:rsidP="008423E4"/>
    <w:p w:rsidR="008423E4" w:rsidRDefault="008B6AF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8"/>
      </w:tblGrid>
      <w:tr w:rsidR="00193DA9" w:rsidTr="000E7376">
        <w:tc>
          <w:tcPr>
            <w:tcW w:w="9588" w:type="dxa"/>
          </w:tcPr>
          <w:p w:rsidR="008423E4" w:rsidRPr="00A8133F" w:rsidRDefault="008B6AF7" w:rsidP="00E451C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B6AF7" w:rsidP="00E451C4"/>
          <w:p w:rsidR="008423E4" w:rsidRDefault="008B6AF7" w:rsidP="00E451C4">
            <w:pPr>
              <w:jc w:val="both"/>
            </w:pPr>
            <w:r>
              <w:t>Interested</w:t>
            </w:r>
            <w:r>
              <w:t xml:space="preserve"> parties contend that </w:t>
            </w:r>
            <w:r>
              <w:t>the deregulation of the electric market</w:t>
            </w:r>
            <w:r>
              <w:t xml:space="preserve"> and the </w:t>
            </w:r>
            <w:r>
              <w:t>inclu</w:t>
            </w:r>
            <w:r>
              <w:t>sion</w:t>
            </w:r>
            <w:r>
              <w:t xml:space="preserve"> </w:t>
            </w:r>
            <w:r>
              <w:t>of r</w:t>
            </w:r>
            <w:r>
              <w:t xml:space="preserve">etail </w:t>
            </w:r>
            <w:r>
              <w:t>e</w:t>
            </w:r>
            <w:r>
              <w:t xml:space="preserve">lectric </w:t>
            </w:r>
            <w:r>
              <w:t>p</w:t>
            </w:r>
            <w:r>
              <w:t>roviders</w:t>
            </w:r>
            <w:r>
              <w:t xml:space="preserve"> </w:t>
            </w:r>
            <w:r>
              <w:t xml:space="preserve">among the utility companies subject to the </w:t>
            </w:r>
            <w:r>
              <w:t>miscellaneous gross receipt</w:t>
            </w:r>
            <w:r>
              <w:t>s</w:t>
            </w:r>
            <w:r>
              <w:t xml:space="preserve"> tax (MGRT)</w:t>
            </w:r>
            <w:r>
              <w:t xml:space="preserve"> has </w:t>
            </w:r>
            <w:r>
              <w:t>led to</w:t>
            </w:r>
            <w:r>
              <w:t xml:space="preserve"> confusion about </w:t>
            </w:r>
            <w:r>
              <w:t>the types of gas, electric, and water utility companies on which</w:t>
            </w:r>
            <w:r>
              <w:t xml:space="preserve"> the MGRT</w:t>
            </w:r>
            <w:r>
              <w:t xml:space="preserve"> is imposed</w:t>
            </w:r>
            <w:r>
              <w:t xml:space="preserve"> under the newly deregulated status of the industry. </w:t>
            </w:r>
            <w:r>
              <w:t>C.S.</w:t>
            </w:r>
            <w:r>
              <w:t>S</w:t>
            </w:r>
            <w:r>
              <w:t xml:space="preserve">.B. </w:t>
            </w:r>
            <w:r>
              <w:t xml:space="preserve">559 </w:t>
            </w:r>
            <w:r>
              <w:t xml:space="preserve">seeks to provide clarity on this issue and level the playing field </w:t>
            </w:r>
            <w:r>
              <w:t>for</w:t>
            </w:r>
            <w:r>
              <w:t xml:space="preserve"> </w:t>
            </w:r>
            <w:r w:rsidRPr="00325B8F">
              <w:t xml:space="preserve">retail electric providers </w:t>
            </w:r>
            <w:r>
              <w:t xml:space="preserve">and other utility companies by providing </w:t>
            </w:r>
            <w:r>
              <w:t>for the imposition of</w:t>
            </w:r>
            <w:r>
              <w:t xml:space="preserve"> the</w:t>
            </w:r>
            <w:r>
              <w:t xml:space="preserve"> MGRT on each utility company making sales to ultimate consumers in certain incorporated </w:t>
            </w:r>
            <w:r>
              <w:t>cities or towns</w:t>
            </w:r>
            <w:r>
              <w:t xml:space="preserve"> in Texas</w:t>
            </w:r>
            <w:r>
              <w:t xml:space="preserve">, regardless of </w:t>
            </w:r>
            <w:r>
              <w:t xml:space="preserve">where the company is </w:t>
            </w:r>
            <w:r>
              <w:t>locat</w:t>
            </w:r>
            <w:r>
              <w:t>ed</w:t>
            </w:r>
            <w:r>
              <w:t>.</w:t>
            </w:r>
          </w:p>
          <w:p w:rsidR="008423E4" w:rsidRPr="00E26B13" w:rsidRDefault="008B6AF7" w:rsidP="00E451C4">
            <w:pPr>
              <w:rPr>
                <w:b/>
              </w:rPr>
            </w:pPr>
          </w:p>
        </w:tc>
      </w:tr>
      <w:tr w:rsidR="00193DA9" w:rsidTr="000E7376">
        <w:tc>
          <w:tcPr>
            <w:tcW w:w="9588" w:type="dxa"/>
          </w:tcPr>
          <w:p w:rsidR="0017725B" w:rsidRDefault="008B6AF7" w:rsidP="00E451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B6AF7" w:rsidP="00E451C4">
            <w:pPr>
              <w:rPr>
                <w:b/>
                <w:u w:val="single"/>
              </w:rPr>
            </w:pPr>
          </w:p>
          <w:p w:rsidR="008F3E97" w:rsidRPr="008F3E97" w:rsidRDefault="008B6AF7" w:rsidP="00E451C4">
            <w:pPr>
              <w:jc w:val="both"/>
            </w:pPr>
            <w:r>
              <w:t>It is the committee's opinion that this bill does not expressly create a criminal offense, increase the punishment for an existing criminal offense or category</w:t>
            </w:r>
            <w:r>
              <w:t xml:space="preserve"> of offenses, or change the eligibility of a person for community supervision, parole, or mandatory supervision.</w:t>
            </w:r>
          </w:p>
          <w:p w:rsidR="0017725B" w:rsidRPr="0017725B" w:rsidRDefault="008B6AF7" w:rsidP="00E451C4">
            <w:pPr>
              <w:rPr>
                <w:b/>
                <w:u w:val="single"/>
              </w:rPr>
            </w:pPr>
          </w:p>
        </w:tc>
      </w:tr>
      <w:tr w:rsidR="00193DA9" w:rsidTr="000E7376">
        <w:tc>
          <w:tcPr>
            <w:tcW w:w="9588" w:type="dxa"/>
          </w:tcPr>
          <w:p w:rsidR="008423E4" w:rsidRPr="00A8133F" w:rsidRDefault="008B6AF7" w:rsidP="00E451C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B6AF7" w:rsidP="00E451C4"/>
          <w:p w:rsidR="008F3E97" w:rsidRDefault="008B6AF7" w:rsidP="00E451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</w:t>
            </w:r>
            <w:r>
              <w:t>fficer, department, agency, or institution.</w:t>
            </w:r>
          </w:p>
          <w:p w:rsidR="008423E4" w:rsidRPr="00E21FDC" w:rsidRDefault="008B6AF7" w:rsidP="00E451C4">
            <w:pPr>
              <w:rPr>
                <w:b/>
              </w:rPr>
            </w:pPr>
          </w:p>
        </w:tc>
      </w:tr>
      <w:tr w:rsidR="00193DA9" w:rsidTr="000E7376">
        <w:tc>
          <w:tcPr>
            <w:tcW w:w="9588" w:type="dxa"/>
          </w:tcPr>
          <w:p w:rsidR="008423E4" w:rsidRPr="00A8133F" w:rsidRDefault="008B6AF7" w:rsidP="00E451C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B6AF7" w:rsidP="00E451C4"/>
          <w:p w:rsidR="008423E4" w:rsidRDefault="008B6AF7" w:rsidP="00E451C4">
            <w:pPr>
              <w:pStyle w:val="Header"/>
              <w:jc w:val="both"/>
            </w:pPr>
            <w:r>
              <w:t>C.S.</w:t>
            </w:r>
            <w:r>
              <w:t>S</w:t>
            </w:r>
            <w:r>
              <w:t xml:space="preserve">.B. </w:t>
            </w:r>
            <w:r>
              <w:t>559</w:t>
            </w:r>
            <w:r>
              <w:t xml:space="preserve"> </w:t>
            </w:r>
            <w:r>
              <w:t xml:space="preserve">amends the Tax Code to remove the specification that a </w:t>
            </w:r>
            <w:r>
              <w:t xml:space="preserve">person defined as a </w:t>
            </w:r>
            <w:r>
              <w:t xml:space="preserve">utility company </w:t>
            </w:r>
            <w:r>
              <w:t xml:space="preserve">for purposes of </w:t>
            </w:r>
            <w:r>
              <w:t xml:space="preserve">miscellaneous </w:t>
            </w:r>
            <w:r>
              <w:t xml:space="preserve">gross receipts taxes </w:t>
            </w:r>
            <w:r>
              <w:t xml:space="preserve">who owns or operates a gas or water works, water plant, electric light or electric power works, or light plant </w:t>
            </w:r>
            <w:r>
              <w:t xml:space="preserve">used </w:t>
            </w:r>
            <w:r>
              <w:t xml:space="preserve">for sale and distribution </w:t>
            </w:r>
            <w:r>
              <w:t xml:space="preserve">is one that </w:t>
            </w:r>
            <w:r>
              <w:t>sell</w:t>
            </w:r>
            <w:r>
              <w:t>s</w:t>
            </w:r>
            <w:r>
              <w:t xml:space="preserve"> or distribute</w:t>
            </w:r>
            <w:r>
              <w:t>s</w:t>
            </w:r>
            <w:r>
              <w:t xml:space="preserve"> local</w:t>
            </w:r>
            <w:r>
              <w:t>ly and to remove the specification that a retail electric provider defined a</w:t>
            </w:r>
            <w:r>
              <w:t xml:space="preserve">s a utility company that makes sales within an incorporated city or town in Texas </w:t>
            </w:r>
            <w:r>
              <w:t xml:space="preserve">is one that </w:t>
            </w:r>
            <w:r>
              <w:t>make</w:t>
            </w:r>
            <w:r>
              <w:t>s</w:t>
            </w:r>
            <w:r>
              <w:t xml:space="preserve"> those sales locally</w:t>
            </w:r>
            <w:r>
              <w:t xml:space="preserve">. </w:t>
            </w:r>
            <w:r>
              <w:t xml:space="preserve">The bill </w:t>
            </w:r>
            <w:r>
              <w:t xml:space="preserve">changes the nature of the utility company on which </w:t>
            </w:r>
            <w:r>
              <w:t xml:space="preserve">a </w:t>
            </w:r>
            <w:r w:rsidRPr="00325B8F">
              <w:t xml:space="preserve">miscellaneous </w:t>
            </w:r>
            <w:r>
              <w:t xml:space="preserve">gross receipts </w:t>
            </w:r>
            <w:r>
              <w:t xml:space="preserve">tax </w:t>
            </w:r>
            <w:r>
              <w:t xml:space="preserve">is </w:t>
            </w:r>
            <w:r>
              <w:t xml:space="preserve">imposed in an incorporated city or town having </w:t>
            </w:r>
            <w:r>
              <w:t xml:space="preserve">a population of </w:t>
            </w:r>
            <w:r>
              <w:t>more than 1,000, according to</w:t>
            </w:r>
            <w:r>
              <w:t xml:space="preserve"> </w:t>
            </w:r>
            <w:r>
              <w:t>the last federal census next preceding the filing of the</w:t>
            </w:r>
            <w:r>
              <w:t xml:space="preserve"> </w:t>
            </w:r>
            <w:r>
              <w:t>report</w:t>
            </w:r>
            <w:r>
              <w:t>,</w:t>
            </w:r>
            <w:r>
              <w:t xml:space="preserve"> from </w:t>
            </w:r>
            <w:r>
              <w:t>each utility company located in such a city</w:t>
            </w:r>
            <w:r>
              <w:t xml:space="preserve"> or town</w:t>
            </w:r>
            <w:r>
              <w:t xml:space="preserve"> to each utility</w:t>
            </w:r>
            <w:r>
              <w:t xml:space="preserve"> company </w:t>
            </w:r>
            <w:r>
              <w:t>that makes a sale</w:t>
            </w:r>
            <w:r>
              <w:t xml:space="preserve"> </w:t>
            </w:r>
            <w:r>
              <w:t xml:space="preserve">to </w:t>
            </w:r>
            <w:r>
              <w:t xml:space="preserve">an </w:t>
            </w:r>
            <w:r>
              <w:t>ultimate consumer in such a city or town</w:t>
            </w:r>
            <w:r>
              <w:t>.</w:t>
            </w:r>
          </w:p>
          <w:p w:rsidR="008423E4" w:rsidRPr="00835628" w:rsidRDefault="008B6AF7" w:rsidP="00E451C4">
            <w:pPr>
              <w:rPr>
                <w:b/>
              </w:rPr>
            </w:pPr>
          </w:p>
        </w:tc>
      </w:tr>
      <w:tr w:rsidR="00193DA9" w:rsidTr="000E7376">
        <w:tc>
          <w:tcPr>
            <w:tcW w:w="9588" w:type="dxa"/>
          </w:tcPr>
          <w:p w:rsidR="008423E4" w:rsidRPr="00A8133F" w:rsidRDefault="008B6AF7" w:rsidP="00E451C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B6AF7" w:rsidP="00E451C4"/>
          <w:p w:rsidR="008423E4" w:rsidRPr="003624F2" w:rsidRDefault="008B6AF7" w:rsidP="00E451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On passage, or, if the bill does not receive the necessary vote, </w:t>
            </w:r>
            <w:r>
              <w:t>September 1, 2017.</w:t>
            </w:r>
          </w:p>
          <w:p w:rsidR="008423E4" w:rsidRPr="00233FDB" w:rsidRDefault="008B6AF7" w:rsidP="00E451C4">
            <w:pPr>
              <w:rPr>
                <w:b/>
              </w:rPr>
            </w:pPr>
          </w:p>
        </w:tc>
      </w:tr>
      <w:tr w:rsidR="00193DA9" w:rsidTr="000E7376">
        <w:tc>
          <w:tcPr>
            <w:tcW w:w="9588" w:type="dxa"/>
          </w:tcPr>
          <w:p w:rsidR="000E7376" w:rsidRDefault="008B6AF7" w:rsidP="00E451C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:rsidR="00FD2EE9" w:rsidRDefault="008B6AF7" w:rsidP="00E451C4">
            <w:pPr>
              <w:jc w:val="both"/>
            </w:pPr>
          </w:p>
          <w:p w:rsidR="00FD2EE9" w:rsidRDefault="008B6AF7" w:rsidP="00E451C4">
            <w:pPr>
              <w:jc w:val="both"/>
            </w:pPr>
            <w:r>
              <w:t>While C.S.S.B. 559 may differ from the engrossed in min</w:t>
            </w:r>
            <w:r>
              <w:t>or or nonsubstantive ways, the following comparison is organized and formatted in a manner that indicates the substantial differences between the engrossed and committee substitute versions of the bill.</w:t>
            </w:r>
          </w:p>
          <w:p w:rsidR="00FD2EE9" w:rsidRPr="00FD2EE9" w:rsidRDefault="008B6AF7" w:rsidP="00E451C4">
            <w:pPr>
              <w:jc w:val="both"/>
            </w:pPr>
          </w:p>
        </w:tc>
      </w:tr>
      <w:tr w:rsidR="00193DA9" w:rsidTr="000E7376">
        <w:tc>
          <w:tcPr>
            <w:tcW w:w="9588" w:type="dxa"/>
          </w:tcPr>
          <w:tbl>
            <w:tblPr>
              <w:tblW w:w="9352" w:type="dxa"/>
              <w:tblInd w:w="6" w:type="dxa"/>
              <w:tblCellMar>
                <w:left w:w="10" w:type="dxa"/>
                <w:bottom w:w="288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719"/>
              <w:gridCol w:w="4633"/>
            </w:tblGrid>
            <w:tr w:rsidR="00193DA9" w:rsidTr="000E7376">
              <w:trPr>
                <w:cantSplit/>
                <w:tblHeader/>
              </w:trPr>
              <w:tc>
                <w:tcPr>
                  <w:tcW w:w="4719" w:type="dxa"/>
                  <w:tcMar>
                    <w:bottom w:w="188" w:type="dxa"/>
                  </w:tcMar>
                </w:tcPr>
                <w:p w:rsidR="000E7376" w:rsidRDefault="008B6AF7" w:rsidP="00E451C4">
                  <w:pPr>
                    <w:jc w:val="center"/>
                  </w:pPr>
                  <w:r>
                    <w:lastRenderedPageBreak/>
                    <w:t>SENATE ENGROSSED</w:t>
                  </w:r>
                </w:p>
              </w:tc>
              <w:tc>
                <w:tcPr>
                  <w:tcW w:w="4633" w:type="dxa"/>
                  <w:tcMar>
                    <w:bottom w:w="188" w:type="dxa"/>
                  </w:tcMar>
                </w:tcPr>
                <w:p w:rsidR="000E7376" w:rsidRDefault="008B6AF7" w:rsidP="00E451C4">
                  <w:pPr>
                    <w:jc w:val="center"/>
                  </w:pPr>
                  <w:r>
                    <w:t>HOUSE COMMITTEE SUBSTITUTE</w:t>
                  </w:r>
                </w:p>
              </w:tc>
            </w:tr>
            <w:tr w:rsidR="00193DA9" w:rsidTr="000E7376">
              <w:tc>
                <w:tcPr>
                  <w:tcW w:w="4719" w:type="dxa"/>
                  <w:tcMar>
                    <w:right w:w="360" w:type="dxa"/>
                  </w:tcMar>
                </w:tcPr>
                <w:p w:rsidR="000E7376" w:rsidRDefault="008B6AF7" w:rsidP="00E451C4">
                  <w:pPr>
                    <w:jc w:val="both"/>
                  </w:pPr>
                  <w:r>
                    <w:t>SECTION 1.  Section 182.021(1), Tax Code, is amended</w:t>
                  </w:r>
                  <w:r>
                    <w:t>.</w:t>
                  </w:r>
                </w:p>
              </w:tc>
              <w:tc>
                <w:tcPr>
                  <w:tcW w:w="4633" w:type="dxa"/>
                  <w:tcMar>
                    <w:left w:w="360" w:type="dxa"/>
                  </w:tcMar>
                </w:tcPr>
                <w:p w:rsidR="000E7376" w:rsidRDefault="008B6AF7" w:rsidP="00E451C4">
                  <w:pPr>
                    <w:jc w:val="both"/>
                  </w:pPr>
                  <w:r>
                    <w:t>SECTION 1. Same as engrossed version.</w:t>
                  </w:r>
                </w:p>
                <w:p w:rsidR="000E7376" w:rsidRDefault="008B6AF7" w:rsidP="00E451C4">
                  <w:pPr>
                    <w:jc w:val="both"/>
                  </w:pPr>
                </w:p>
              </w:tc>
            </w:tr>
            <w:tr w:rsidR="00193DA9" w:rsidTr="000E7376">
              <w:tc>
                <w:tcPr>
                  <w:tcW w:w="4719" w:type="dxa"/>
                  <w:tcMar>
                    <w:right w:w="360" w:type="dxa"/>
                  </w:tcMar>
                </w:tcPr>
                <w:p w:rsidR="000E7376" w:rsidRDefault="008B6AF7" w:rsidP="00E451C4">
                  <w:pPr>
                    <w:jc w:val="both"/>
                  </w:pPr>
                  <w:r>
                    <w:t>SECTION 2.  Section 182.022(a), Tax Code, is amended</w:t>
                  </w:r>
                  <w:r>
                    <w:t>.</w:t>
                  </w:r>
                </w:p>
              </w:tc>
              <w:tc>
                <w:tcPr>
                  <w:tcW w:w="4633" w:type="dxa"/>
                  <w:tcMar>
                    <w:left w:w="360" w:type="dxa"/>
                  </w:tcMar>
                </w:tcPr>
                <w:p w:rsidR="000E7376" w:rsidRDefault="008B6AF7" w:rsidP="00E451C4">
                  <w:pPr>
                    <w:jc w:val="both"/>
                  </w:pPr>
                  <w:r>
                    <w:t>SECTION 2. Same as engrossed version.</w:t>
                  </w:r>
                </w:p>
                <w:p w:rsidR="000E7376" w:rsidRDefault="008B6AF7" w:rsidP="00E451C4">
                  <w:pPr>
                    <w:jc w:val="both"/>
                  </w:pPr>
                </w:p>
              </w:tc>
            </w:tr>
            <w:tr w:rsidR="00193DA9" w:rsidTr="000E7376">
              <w:tc>
                <w:tcPr>
                  <w:tcW w:w="4719" w:type="dxa"/>
                  <w:tcMar>
                    <w:right w:w="360" w:type="dxa"/>
                  </w:tcMar>
                </w:tcPr>
                <w:p w:rsidR="000E7376" w:rsidRDefault="008B6AF7" w:rsidP="00E451C4">
                  <w:pPr>
                    <w:jc w:val="both"/>
                  </w:pPr>
                  <w:r>
                    <w:t xml:space="preserve">SECTION 3.  Section 182.025(e)(3), Tax Code, is amended to read as </w:t>
                  </w:r>
                  <w:r>
                    <w:t>follows:</w:t>
                  </w:r>
                </w:p>
                <w:p w:rsidR="000E7376" w:rsidRDefault="008B6AF7" w:rsidP="00E451C4">
                  <w:pPr>
                    <w:jc w:val="both"/>
                  </w:pPr>
                  <w:r>
                    <w:t>(3)  "Public utility" means:</w:t>
                  </w:r>
                </w:p>
                <w:p w:rsidR="000E7376" w:rsidRDefault="008B6AF7" w:rsidP="00E451C4">
                  <w:pPr>
                    <w:jc w:val="both"/>
                  </w:pPr>
                  <w:r>
                    <w:t>(A)  a person who owns or operates a gas or water works or water plant used for [</w:t>
                  </w:r>
                  <w:r>
                    <w:rPr>
                      <w:strike/>
                    </w:rPr>
                    <w:t>local</w:t>
                  </w:r>
                  <w:r>
                    <w:t>] sale and distribution [</w:t>
                  </w:r>
                  <w:r>
                    <w:rPr>
                      <w:strike/>
                    </w:rPr>
                    <w:t>located</w:t>
                  </w:r>
                  <w:r>
                    <w:t>] within an incorporated city or town in this state; or</w:t>
                  </w:r>
                </w:p>
                <w:p w:rsidR="000E7376" w:rsidRDefault="008B6AF7" w:rsidP="00E451C4">
                  <w:pPr>
                    <w:jc w:val="both"/>
                  </w:pPr>
                  <w:r>
                    <w:t>(B)  an electric utility or transmission and</w:t>
                  </w:r>
                  <w:r>
                    <w:t xml:space="preserve"> distribution utility providing distribution service within an incorporated city or town in this state.</w:t>
                  </w:r>
                </w:p>
              </w:tc>
              <w:tc>
                <w:tcPr>
                  <w:tcW w:w="4633" w:type="dxa"/>
                  <w:tcMar>
                    <w:left w:w="360" w:type="dxa"/>
                  </w:tcMar>
                </w:tcPr>
                <w:p w:rsidR="000E7376" w:rsidRDefault="008B6AF7" w:rsidP="00E451C4">
                  <w:pPr>
                    <w:jc w:val="both"/>
                  </w:pPr>
                  <w:r w:rsidRPr="00FD2EE9">
                    <w:rPr>
                      <w:highlight w:val="lightGray"/>
                    </w:rPr>
                    <w:t>No equivalent provision.</w:t>
                  </w:r>
                </w:p>
                <w:p w:rsidR="000E7376" w:rsidRDefault="008B6AF7" w:rsidP="00E451C4">
                  <w:pPr>
                    <w:jc w:val="both"/>
                  </w:pPr>
                </w:p>
              </w:tc>
            </w:tr>
            <w:tr w:rsidR="00193DA9" w:rsidTr="000E7376">
              <w:tc>
                <w:tcPr>
                  <w:tcW w:w="4719" w:type="dxa"/>
                  <w:tcMar>
                    <w:right w:w="360" w:type="dxa"/>
                  </w:tcMar>
                </w:tcPr>
                <w:p w:rsidR="000E7376" w:rsidRDefault="008B6AF7" w:rsidP="00E451C4">
                  <w:pPr>
                    <w:jc w:val="both"/>
                  </w:pPr>
                  <w:r w:rsidRPr="00FD2EE9">
                    <w:rPr>
                      <w:highlight w:val="lightGray"/>
                    </w:rPr>
                    <w:t>No equivalent provision.</w:t>
                  </w:r>
                </w:p>
                <w:p w:rsidR="000E7376" w:rsidRDefault="008B6AF7" w:rsidP="00E451C4">
                  <w:pPr>
                    <w:jc w:val="both"/>
                  </w:pPr>
                </w:p>
              </w:tc>
              <w:tc>
                <w:tcPr>
                  <w:tcW w:w="4633" w:type="dxa"/>
                  <w:tcMar>
                    <w:left w:w="360" w:type="dxa"/>
                  </w:tcMar>
                </w:tcPr>
                <w:p w:rsidR="000E7376" w:rsidRDefault="008B6AF7" w:rsidP="00E451C4">
                  <w:pPr>
                    <w:jc w:val="both"/>
                  </w:pPr>
                  <w:r>
                    <w:t>SECTION 3.  The amendments made by this Act to Sections 182.021 and 182.022, Tax Code, are a clarif</w:t>
                  </w:r>
                  <w:r>
                    <w:t>ication of existing law and do not imply that existing law may be construed as inconsistent with the law as amended by this Act.</w:t>
                  </w:r>
                </w:p>
              </w:tc>
            </w:tr>
            <w:tr w:rsidR="00193DA9" w:rsidTr="000E7376">
              <w:tc>
                <w:tcPr>
                  <w:tcW w:w="4719" w:type="dxa"/>
                  <w:tcMar>
                    <w:right w:w="360" w:type="dxa"/>
                  </w:tcMar>
                </w:tcPr>
                <w:p w:rsidR="000E7376" w:rsidRDefault="008B6AF7" w:rsidP="00E451C4">
                  <w:pPr>
                    <w:jc w:val="both"/>
                  </w:pPr>
                  <w:r w:rsidRPr="002E7758">
                    <w:t>SECTION 4.  This Act takes effect September 1, 2017.</w:t>
                  </w:r>
                </w:p>
                <w:p w:rsidR="000E7376" w:rsidRDefault="008B6AF7" w:rsidP="00E451C4">
                  <w:pPr>
                    <w:jc w:val="both"/>
                  </w:pPr>
                </w:p>
              </w:tc>
              <w:tc>
                <w:tcPr>
                  <w:tcW w:w="4633" w:type="dxa"/>
                  <w:tcMar>
                    <w:left w:w="360" w:type="dxa"/>
                  </w:tcMar>
                </w:tcPr>
                <w:p w:rsidR="000E7376" w:rsidRDefault="008B6AF7" w:rsidP="00E451C4">
                  <w:pPr>
                    <w:jc w:val="both"/>
                  </w:pPr>
                  <w:r w:rsidRPr="002E7758">
                    <w:t xml:space="preserve">SECTION 4.  </w:t>
                  </w:r>
                  <w:r w:rsidRPr="00FD2EE9">
                    <w:rPr>
                      <w:highlight w:val="lightGray"/>
                    </w:rPr>
                    <w:t>This Act takes effect immediately if it receives a vote of t</w:t>
                  </w:r>
                  <w:r w:rsidRPr="00FD2EE9">
                    <w:rPr>
                      <w:highlight w:val="lightGray"/>
                    </w:rPr>
                    <w:t>wo-thirds of all the members elected to each house, as provided by Section 39, Article III, Texas Constitution.  If this Act does not receive the vote necessary for immediate effect,</w:t>
                  </w:r>
                  <w:r w:rsidRPr="002E7758">
                    <w:t xml:space="preserve"> this Act takes effect September 1, 2017.</w:t>
                  </w:r>
                </w:p>
              </w:tc>
            </w:tr>
          </w:tbl>
          <w:p w:rsidR="000E7376" w:rsidRDefault="008B6AF7" w:rsidP="00E451C4"/>
          <w:p w:rsidR="00D461A1" w:rsidRDefault="008B6AF7" w:rsidP="00E451C4"/>
          <w:p w:rsidR="00D461A1" w:rsidRPr="009C1E9A" w:rsidRDefault="008B6AF7" w:rsidP="00E451C4">
            <w:pPr>
              <w:rPr>
                <w:b/>
                <w:u w:val="single"/>
              </w:rPr>
            </w:pPr>
          </w:p>
        </w:tc>
      </w:tr>
      <w:tr w:rsidR="00193DA9" w:rsidTr="000E7376">
        <w:tc>
          <w:tcPr>
            <w:tcW w:w="9588" w:type="dxa"/>
          </w:tcPr>
          <w:p w:rsidR="000E7376" w:rsidRDefault="008B6AF7" w:rsidP="00E451C4"/>
        </w:tc>
      </w:tr>
      <w:tr w:rsidR="00193DA9" w:rsidTr="000E7376">
        <w:tc>
          <w:tcPr>
            <w:tcW w:w="9588" w:type="dxa"/>
          </w:tcPr>
          <w:p w:rsidR="000E7376" w:rsidRDefault="008B6AF7" w:rsidP="00E451C4"/>
        </w:tc>
      </w:tr>
    </w:tbl>
    <w:p w:rsidR="008423E4" w:rsidRPr="00BE0E75" w:rsidRDefault="008B6AF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B6AF7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6AF7">
      <w:r>
        <w:separator/>
      </w:r>
    </w:p>
  </w:endnote>
  <w:endnote w:type="continuationSeparator" w:id="0">
    <w:p w:rsidR="00000000" w:rsidRDefault="008B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AC" w:rsidRDefault="008B6A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93DA9" w:rsidTr="009C1E9A">
      <w:trPr>
        <w:cantSplit/>
      </w:trPr>
      <w:tc>
        <w:tcPr>
          <w:tcW w:w="0" w:type="pct"/>
        </w:tcPr>
        <w:p w:rsidR="00137D90" w:rsidRDefault="008B6AF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B6AF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B6AF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B6AF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B6AF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3DA9" w:rsidTr="009C1E9A">
      <w:trPr>
        <w:cantSplit/>
      </w:trPr>
      <w:tc>
        <w:tcPr>
          <w:tcW w:w="0" w:type="pct"/>
        </w:tcPr>
        <w:p w:rsidR="00EC379B" w:rsidRDefault="008B6AF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B6AF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28429</w:t>
          </w:r>
        </w:p>
      </w:tc>
      <w:tc>
        <w:tcPr>
          <w:tcW w:w="2453" w:type="pct"/>
        </w:tcPr>
        <w:p w:rsidR="00EC379B" w:rsidRDefault="008B6AF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17.124.424</w:t>
          </w:r>
          <w:r>
            <w:fldChar w:fldCharType="end"/>
          </w:r>
        </w:p>
      </w:tc>
    </w:tr>
    <w:tr w:rsidR="00193DA9" w:rsidTr="009C1E9A">
      <w:trPr>
        <w:cantSplit/>
      </w:trPr>
      <w:tc>
        <w:tcPr>
          <w:tcW w:w="0" w:type="pct"/>
        </w:tcPr>
        <w:p w:rsidR="00EC379B" w:rsidRDefault="008B6AF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B6AF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85R 17513</w:t>
          </w:r>
        </w:p>
      </w:tc>
      <w:tc>
        <w:tcPr>
          <w:tcW w:w="2453" w:type="pct"/>
        </w:tcPr>
        <w:p w:rsidR="00EC379B" w:rsidRDefault="008B6AF7" w:rsidP="006D504F">
          <w:pPr>
            <w:pStyle w:val="Footer"/>
            <w:rPr>
              <w:rStyle w:val="PageNumber"/>
            </w:rPr>
          </w:pPr>
        </w:p>
        <w:p w:rsidR="00EC379B" w:rsidRDefault="008B6AF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93DA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B6AF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B6AF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B6AF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AC" w:rsidRDefault="008B6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6AF7">
      <w:r>
        <w:separator/>
      </w:r>
    </w:p>
  </w:footnote>
  <w:footnote w:type="continuationSeparator" w:id="0">
    <w:p w:rsidR="00000000" w:rsidRDefault="008B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AC" w:rsidRDefault="008B6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AC" w:rsidRDefault="008B6A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9AC" w:rsidRDefault="008B6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A9"/>
    <w:rsid w:val="00193DA9"/>
    <w:rsid w:val="008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F3E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3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3E97"/>
  </w:style>
  <w:style w:type="paragraph" w:styleId="CommentSubject">
    <w:name w:val="annotation subject"/>
    <w:basedOn w:val="CommentText"/>
    <w:next w:val="CommentText"/>
    <w:link w:val="CommentSubjectChar"/>
    <w:rsid w:val="008F3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E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8F3E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3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3E97"/>
  </w:style>
  <w:style w:type="paragraph" w:styleId="CommentSubject">
    <w:name w:val="annotation subject"/>
    <w:basedOn w:val="CommentText"/>
    <w:next w:val="CommentText"/>
    <w:link w:val="CommentSubjectChar"/>
    <w:rsid w:val="008F3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3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3276</Characters>
  <Application>Microsoft Office Word</Application>
  <DocSecurity>4</DocSecurity>
  <Lines>104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SB00559 (Committee Report (Substituted))</vt:lpstr>
    </vt:vector>
  </TitlesOfParts>
  <Company>State of Texas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28429</dc:subject>
  <dc:creator>State of Texas</dc:creator>
  <dc:description>SB 559 by Hancock-(H)Ways &amp; Means (Substitute Document Number: 85R 17513)</dc:description>
  <cp:lastModifiedBy>Brianna Weis</cp:lastModifiedBy>
  <cp:revision>2</cp:revision>
  <cp:lastPrinted>2017-05-04T22:25:00Z</cp:lastPrinted>
  <dcterms:created xsi:type="dcterms:W3CDTF">2017-05-06T16:19:00Z</dcterms:created>
  <dcterms:modified xsi:type="dcterms:W3CDTF">2017-05-06T16:19:00Z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17.124.424</vt:lpwstr>
  </property>
</Properties>
</file>